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5353" w:rsidRDefault="006C5353" w:rsidP="006C5353">
      <w:pPr>
        <w:pStyle w:val="Heading1"/>
        <w:numPr>
          <w:ilvl w:val="0"/>
          <w:numId w:val="0"/>
        </w:numPr>
      </w:pPr>
      <w:r>
        <w:t xml:space="preserve">Identifying Key </w:t>
      </w:r>
      <w:r w:rsidRPr="00B16142">
        <w:t>Management</w:t>
      </w:r>
      <w:r>
        <w:t xml:space="preserve"> Personnel of your Entity</w:t>
      </w:r>
    </w:p>
    <w:p w:rsidR="006C5353" w:rsidRPr="00D03837" w:rsidRDefault="006C5353" w:rsidP="006C5353">
      <w:pPr>
        <w:pStyle w:val="Heading2"/>
        <w:numPr>
          <w:ilvl w:val="0"/>
          <w:numId w:val="0"/>
        </w:numPr>
        <w:rPr>
          <w:sz w:val="22"/>
        </w:rPr>
      </w:pPr>
      <w:r w:rsidRPr="00D03837">
        <w:t>Guidance</w:t>
      </w:r>
    </w:p>
    <w:p w:rsidR="006C5353" w:rsidRPr="00D71FFB" w:rsidRDefault="006C5353" w:rsidP="006C5353">
      <w:r w:rsidRPr="00D71FFB">
        <w:t xml:space="preserve">AASB 124.9 defines </w:t>
      </w:r>
      <w:r>
        <w:t>k</w:t>
      </w:r>
      <w:r w:rsidRPr="00D71FFB">
        <w:t xml:space="preserve">ey </w:t>
      </w:r>
      <w:r>
        <w:t>m</w:t>
      </w:r>
      <w:r w:rsidRPr="00D71FFB">
        <w:t xml:space="preserve">anagement </w:t>
      </w:r>
      <w:r>
        <w:t>p</w:t>
      </w:r>
      <w:r w:rsidRPr="00D71FFB">
        <w:t xml:space="preserve">ersonnel (KMP) as persons having authority and responsibility for planning, directing and controlling the activities of the entity, </w:t>
      </w:r>
      <w:r w:rsidRPr="00BD656C">
        <w:t>directly or indirectly,</w:t>
      </w:r>
      <w:r w:rsidRPr="00D71FFB">
        <w:t xml:space="preserve"> that is,</w:t>
      </w:r>
      <w:r w:rsidRPr="00D03837">
        <w:t xml:space="preserve"> those charged with decision-making responsibilities.</w:t>
      </w:r>
    </w:p>
    <w:p w:rsidR="006C5353" w:rsidRDefault="006C5353" w:rsidP="006C5353">
      <w:r>
        <w:t>KMP are generally employees of the reporting entity, however the definition does not restrict itself to employees only. Therefore, it includes seconded staff and persons engaged under management or outsourcing contracts. Consequently, personnel engaged by an entity as contractors and charged with significant management responsibilities are considered to meet the definition of KMP.</w:t>
      </w:r>
    </w:p>
    <w:p w:rsidR="006C5353" w:rsidRDefault="006C5353" w:rsidP="006C5353">
      <w:r>
        <w:t>The process in identifying KMP should be done in conjunction with the chief executive of the agency or other senior management personnel. This should be conducted at the beginning of each reporting period and the process should be documented.</w:t>
      </w:r>
    </w:p>
    <w:p w:rsidR="006C5353" w:rsidRDefault="006C5353" w:rsidP="006C5353">
      <w:pPr>
        <w:pStyle w:val="Heading2"/>
        <w:numPr>
          <w:ilvl w:val="0"/>
          <w:numId w:val="0"/>
        </w:numPr>
      </w:pPr>
      <w:r>
        <w:t>KMP include:</w:t>
      </w:r>
    </w:p>
    <w:p w:rsidR="006C5353" w:rsidRPr="00D71FFB" w:rsidRDefault="006C5353" w:rsidP="006C5353">
      <w:pPr>
        <w:pStyle w:val="Heading3"/>
        <w:numPr>
          <w:ilvl w:val="0"/>
          <w:numId w:val="0"/>
        </w:numPr>
      </w:pPr>
      <w:r w:rsidRPr="00D71FFB">
        <w:t>Cabinet</w:t>
      </w:r>
    </w:p>
    <w:p w:rsidR="006C5353" w:rsidRDefault="006C5353" w:rsidP="006C5353">
      <w:r>
        <w:t xml:space="preserve">Cabinet is the principal decision-making body of the government and therefore deemed to be KMP for the Territory Government as a whole. Cabinet ministers’ remuneration and related party transactions will be included in the whole of government financial statements but not within individual agency financial statements. </w:t>
      </w:r>
    </w:p>
    <w:p w:rsidR="006C5353" w:rsidRPr="00DC68AB" w:rsidRDefault="006C5353" w:rsidP="006C5353">
      <w:pPr>
        <w:pStyle w:val="Heading3"/>
        <w:numPr>
          <w:ilvl w:val="0"/>
          <w:numId w:val="0"/>
        </w:numPr>
      </w:pPr>
      <w:r w:rsidRPr="00DC68AB">
        <w:t>Ministers</w:t>
      </w:r>
    </w:p>
    <w:p w:rsidR="006C5353" w:rsidRDefault="006C5353" w:rsidP="006C5353">
      <w:r>
        <w:t>Ministers are deemed KMP for their portfolio agencies, as they are responsible for the oversight of their relevant portfolio agencies and consequently related party transactions will be disclosed in their portfolio agency’s financial statements. A minister’s remuneration, however, will not be included in the financial statements of the agency as he or she is not paid by the agency and would be disclosed in the whole of government financial statements only.</w:t>
      </w:r>
    </w:p>
    <w:p w:rsidR="006C5353" w:rsidRDefault="006C5353" w:rsidP="006C5353">
      <w:r>
        <w:t>Where a minister has multiple portfolios then his or her related party transactions will be included in the relevant agency’s financial statements.</w:t>
      </w:r>
    </w:p>
    <w:p w:rsidR="006C5353" w:rsidRDefault="006C5353" w:rsidP="006C5353">
      <w:r>
        <w:t xml:space="preserve">The Treasurer has certain powers under the </w:t>
      </w:r>
      <w:r w:rsidRPr="0071150E">
        <w:rPr>
          <w:i/>
        </w:rPr>
        <w:t>Financial Management Act</w:t>
      </w:r>
      <w:r>
        <w:rPr>
          <w:i/>
        </w:rPr>
        <w:t xml:space="preserve"> </w:t>
      </w:r>
      <w:r w:rsidRPr="0071150E">
        <w:t>(FMA),</w:t>
      </w:r>
      <w:r>
        <w:t xml:space="preserve"> however this does not mean he or she has decision-making power that will make the Treasurer KMP of all agencies. The powers given to the Treasurer under the FMA are limited to governance and reporting matters but not for operational matters, therefore the Treasurer will be KMP of his or her relevant portfolio and the Territory as a member of Cabinet, but not for all other agencies.</w:t>
      </w:r>
    </w:p>
    <w:p w:rsidR="006C5353" w:rsidRPr="009E5A15" w:rsidRDefault="006C5353" w:rsidP="006C5353">
      <w:pPr>
        <w:pStyle w:val="Heading3"/>
        <w:numPr>
          <w:ilvl w:val="0"/>
          <w:numId w:val="0"/>
        </w:numPr>
      </w:pPr>
      <w:r w:rsidRPr="009E5A15">
        <w:t>Executive and Senior Officers or Governing Board</w:t>
      </w:r>
    </w:p>
    <w:p w:rsidR="006C5353" w:rsidRDefault="006C5353" w:rsidP="006C5353">
      <w:r>
        <w:t xml:space="preserve">Agencies are required to assess which executives, senior officers or members of the governing board meet the definition of a KMP. </w:t>
      </w:r>
    </w:p>
    <w:p w:rsidR="006C5353" w:rsidRPr="00420EA3" w:rsidRDefault="006C5353" w:rsidP="006C5353">
      <w:r w:rsidRPr="00420EA3">
        <w:t xml:space="preserve">The number of KMP identified will be determined by an entity's governance structure and how it makes decisions on the entity's operations as a whole. </w:t>
      </w:r>
    </w:p>
    <w:p w:rsidR="006C5353" w:rsidRDefault="006C5353" w:rsidP="006C5353">
      <w:r>
        <w:br w:type="page"/>
      </w:r>
    </w:p>
    <w:p w:rsidR="006C5353" w:rsidRPr="00420EA3" w:rsidRDefault="006C5353" w:rsidP="006C5353">
      <w:r w:rsidRPr="00420EA3">
        <w:lastRenderedPageBreak/>
        <w:t xml:space="preserve">Generally, the expectation is that KMP of an agency would include members of the </w:t>
      </w:r>
      <w:r>
        <w:t>e</w:t>
      </w:r>
      <w:r w:rsidRPr="00420EA3">
        <w:t>xecutive</w:t>
      </w:r>
      <w:r>
        <w:t>/governing</w:t>
      </w:r>
      <w:r w:rsidRPr="00420EA3">
        <w:t xml:space="preserve"> </w:t>
      </w:r>
      <w:r>
        <w:t>b</w:t>
      </w:r>
      <w:r w:rsidRPr="00420EA3">
        <w:t>oard and</w:t>
      </w:r>
      <w:r>
        <w:t xml:space="preserve"> </w:t>
      </w:r>
      <w:r w:rsidRPr="00420EA3">
        <w:t xml:space="preserve">or </w:t>
      </w:r>
      <w:r>
        <w:t>s</w:t>
      </w:r>
      <w:r w:rsidRPr="00420EA3">
        <w:t xml:space="preserve">enior </w:t>
      </w:r>
      <w:r>
        <w:t>e</w:t>
      </w:r>
      <w:r w:rsidRPr="00420EA3">
        <w:t xml:space="preserve">xecutive </w:t>
      </w:r>
      <w:r>
        <w:t>g</w:t>
      </w:r>
      <w:r w:rsidRPr="00420EA3">
        <w:t xml:space="preserve">roup as they are the governing body responsible for the delivery of the agency’s services and are accountable for: </w:t>
      </w:r>
    </w:p>
    <w:p w:rsidR="006C5353" w:rsidRPr="006C5353" w:rsidRDefault="006C5353" w:rsidP="006C5353">
      <w:pPr>
        <w:pStyle w:val="ListBullet"/>
      </w:pPr>
      <w:r w:rsidRPr="006C5353">
        <w:t xml:space="preserve">the strategic direction and leadership of the agency as a whole; </w:t>
      </w:r>
    </w:p>
    <w:p w:rsidR="006C5353" w:rsidRPr="006C5353" w:rsidRDefault="006C5353" w:rsidP="006C5353">
      <w:pPr>
        <w:pStyle w:val="ListBullet"/>
      </w:pPr>
      <w:r w:rsidRPr="006C5353">
        <w:t xml:space="preserve">management of the agency as a whole; </w:t>
      </w:r>
    </w:p>
    <w:p w:rsidR="006C5353" w:rsidRPr="006C5353" w:rsidRDefault="006C5353" w:rsidP="006C5353">
      <w:pPr>
        <w:pStyle w:val="ListBullet"/>
      </w:pPr>
      <w:r w:rsidRPr="006C5353">
        <w:t xml:space="preserve">monitoring and evaluation of the agency’s activities; and </w:t>
      </w:r>
    </w:p>
    <w:p w:rsidR="006C5353" w:rsidRPr="006C5353" w:rsidRDefault="006C5353" w:rsidP="006C5353">
      <w:pPr>
        <w:pStyle w:val="ListBullet"/>
      </w:pPr>
      <w:proofErr w:type="gramStart"/>
      <w:r w:rsidRPr="006C5353">
        <w:t>compliance</w:t>
      </w:r>
      <w:proofErr w:type="gramEnd"/>
      <w:r w:rsidRPr="006C5353">
        <w:t xml:space="preserve"> and stakeholder management.</w:t>
      </w:r>
    </w:p>
    <w:p w:rsidR="006C5353" w:rsidRDefault="006C5353" w:rsidP="006C5353">
      <w:r>
        <w:t>A board refers to those bodies which have been formally appointed by a minister or by the administrator of the Northern Territory, generally by way of formal instrument of appointment.</w:t>
      </w:r>
    </w:p>
    <w:p w:rsidR="006C5353" w:rsidRPr="006C5353" w:rsidRDefault="006C5353" w:rsidP="006C5353">
      <w:r>
        <w:t>Agencies should exercise judgement to determine who will be considered KMP based on the facts and circumstances, taking into consideration their ability to influence or make strategic decisions for the agency as a whole and may include other senior executives not members of these groups.</w:t>
      </w:r>
    </w:p>
    <w:p w:rsidR="006C5353" w:rsidRDefault="006C5353" w:rsidP="006C5353">
      <w:r>
        <w:t xml:space="preserve">Executives and senior managers delegated the operational authority for specific functions of the entity are generally not considered KMP for the </w:t>
      </w:r>
      <w:r w:rsidRPr="00747F8B">
        <w:t xml:space="preserve">purpose of AASB 124. However, there might be instances where employees </w:t>
      </w:r>
      <w:r>
        <w:t>with</w:t>
      </w:r>
      <w:r w:rsidRPr="00747F8B">
        <w:t xml:space="preserve"> operational control </w:t>
      </w:r>
      <w:r>
        <w:t>of</w:t>
      </w:r>
      <w:r w:rsidRPr="00747F8B">
        <w:t xml:space="preserve"> managing specific business units within the reporting entity may be considered KMP of the reporting entity, </w:t>
      </w:r>
      <w:r w:rsidRPr="00BD656C">
        <w:t>where they are part of the executive board or</w:t>
      </w:r>
      <w:r w:rsidRPr="0041209A">
        <w:t xml:space="preserve"> the business unit is a significant component of that entity.</w:t>
      </w:r>
    </w:p>
    <w:p w:rsidR="006C5353" w:rsidRPr="00F25AA1" w:rsidRDefault="006C5353" w:rsidP="006C5353">
      <w:pPr>
        <w:pStyle w:val="Heading3"/>
        <w:numPr>
          <w:ilvl w:val="0"/>
          <w:numId w:val="0"/>
        </w:numPr>
      </w:pPr>
      <w:r w:rsidRPr="00F25AA1">
        <w:t>Advisory Boards</w:t>
      </w:r>
    </w:p>
    <w:p w:rsidR="006C5353" w:rsidRDefault="006C5353" w:rsidP="006C5353">
      <w:r>
        <w:t>Where an entity has an advisory board, the roles and functions of the members of the board will need to be assessed to determine whether they meet the definition of the KMP in AASB 124 (that is, the entity needs to assess whether the members or board are charged with decision-making responsibility).</w:t>
      </w:r>
    </w:p>
    <w:p w:rsidR="006C5353" w:rsidRDefault="006C5353" w:rsidP="006C5353">
      <w:r w:rsidRPr="00747F8B">
        <w:t>Consideration should be given to the level of involvement that advisory board members have in strategic decision</w:t>
      </w:r>
      <w:r>
        <w:t xml:space="preserve"> </w:t>
      </w:r>
      <w:r w:rsidRPr="00747F8B">
        <w:t xml:space="preserve">making. </w:t>
      </w:r>
    </w:p>
    <w:p w:rsidR="006C5353" w:rsidRPr="0074630E" w:rsidRDefault="006C5353" w:rsidP="006C5353">
      <w:pPr>
        <w:pStyle w:val="Heading3"/>
        <w:numPr>
          <w:ilvl w:val="0"/>
          <w:numId w:val="0"/>
        </w:numPr>
      </w:pPr>
      <w:r w:rsidRPr="00DC68AB">
        <w:t>Statutory Officers</w:t>
      </w:r>
    </w:p>
    <w:p w:rsidR="006C5353" w:rsidRPr="0074630E" w:rsidRDefault="006C5353" w:rsidP="006C5353">
      <w:r w:rsidRPr="00164B1A">
        <w:t>Statutory officers (</w:t>
      </w:r>
      <w:r>
        <w:t>for example, Commissioner of Superannuation</w:t>
      </w:r>
      <w:r w:rsidRPr="00164B1A">
        <w:t>) have authority under legislation to direct or control the activities of a specified division or function. Typically this division or function will be a cost centre that is part of the</w:t>
      </w:r>
      <w:r>
        <w:t xml:space="preserve"> agency</w:t>
      </w:r>
      <w:r w:rsidRPr="00164B1A">
        <w:t xml:space="preserve">. </w:t>
      </w:r>
      <w:r>
        <w:t>Although</w:t>
      </w:r>
      <w:r w:rsidRPr="00164B1A">
        <w:t xml:space="preserve"> the statutory officer may meet the definition of KMP for </w:t>
      </w:r>
      <w:r>
        <w:t xml:space="preserve">his or her </w:t>
      </w:r>
      <w:r w:rsidRPr="00164B1A">
        <w:t xml:space="preserve">specified division or function, regard should be given to assessing whether the statutory officer is considered KMP of the </w:t>
      </w:r>
      <w:r>
        <w:t>agency as a whole</w:t>
      </w:r>
      <w:r w:rsidRPr="00164B1A">
        <w:t>. This will be a matter of judgement</w:t>
      </w:r>
      <w:r>
        <w:t xml:space="preserve"> for each agency and should be decided in conjunction with the agency’s Chief Executive</w:t>
      </w:r>
      <w:r w:rsidRPr="00164B1A">
        <w:t xml:space="preserve">. </w:t>
      </w:r>
      <w:r w:rsidRPr="0074630E">
        <w:t>Declarations should be collected from all statutory officers for their related party transactions</w:t>
      </w:r>
      <w:r>
        <w:t xml:space="preserve"> where they have been designated as KMP</w:t>
      </w:r>
      <w:r w:rsidRPr="0074630E">
        <w:t xml:space="preserve">. Management </w:t>
      </w:r>
      <w:r>
        <w:t xml:space="preserve">should </w:t>
      </w:r>
      <w:r w:rsidRPr="0074630E">
        <w:t xml:space="preserve">exercise professional judgement to determine whether the statutory officer’s division or function and relevant related party transactions are considered to be material and significant to the </w:t>
      </w:r>
      <w:r w:rsidRPr="00D03837">
        <w:t xml:space="preserve">agency for disclosure in the agency’s financial statements. </w:t>
      </w:r>
    </w:p>
    <w:p w:rsidR="006C5353" w:rsidRPr="0074630E" w:rsidRDefault="006C5353" w:rsidP="006C5353">
      <w:r w:rsidRPr="0074630E">
        <w:t>In performing this assessment, agenc</w:t>
      </w:r>
      <w:r>
        <w:t>ies</w:t>
      </w:r>
      <w:r w:rsidRPr="0074630E">
        <w:t xml:space="preserve"> should consider whether the statutory officer has the ability to direct activities of a division or function that </w:t>
      </w:r>
      <w:r w:rsidRPr="00D03837">
        <w:t>significantly</w:t>
      </w:r>
      <w:r w:rsidRPr="0074630E">
        <w:t xml:space="preserve"> affect the agency’s outcomes as a whole, that is, the division</w:t>
      </w:r>
      <w:r w:rsidRPr="00D03837">
        <w:t xml:space="preserve"> or function is material and significant to the agency’s overall business and financial outcomes. </w:t>
      </w:r>
    </w:p>
    <w:p w:rsidR="006C5353" w:rsidRPr="00D71FFB" w:rsidRDefault="006C5353" w:rsidP="006C5353">
      <w:pPr>
        <w:pStyle w:val="Heading2"/>
        <w:numPr>
          <w:ilvl w:val="0"/>
          <w:numId w:val="0"/>
        </w:numPr>
      </w:pPr>
      <w:r w:rsidRPr="00B16142">
        <w:t>Flow</w:t>
      </w:r>
      <w:r w:rsidRPr="00D03837">
        <w:t xml:space="preserve"> Chart</w:t>
      </w:r>
    </w:p>
    <w:p w:rsidR="006C5353" w:rsidRPr="00FA5D62" w:rsidRDefault="006C5353" w:rsidP="006C5353">
      <w:r>
        <w:t xml:space="preserve">This flow chart is to assist agencies with identifying whether a person would be considered KMP of the reporting entity. Where it is uncertain whether a person satisfies the definition of KMP, it is recommended the person complete a </w:t>
      </w:r>
      <w:r w:rsidRPr="00E6095E">
        <w:t>declaration</w:t>
      </w:r>
      <w:r>
        <w:t xml:space="preserve"> and his or her </w:t>
      </w:r>
      <w:r w:rsidRPr="00164B1A">
        <w:t xml:space="preserve">related party transactions </w:t>
      </w:r>
      <w:r>
        <w:lastRenderedPageBreak/>
        <w:t xml:space="preserve">assessed for </w:t>
      </w:r>
      <w:r w:rsidRPr="00164B1A">
        <w:t>material</w:t>
      </w:r>
      <w:r>
        <w:t>ity</w:t>
      </w:r>
      <w:r w:rsidRPr="00164B1A">
        <w:t xml:space="preserve"> and significan</w:t>
      </w:r>
      <w:r>
        <w:t>ce</w:t>
      </w:r>
      <w:r w:rsidRPr="00164B1A">
        <w:t xml:space="preserve"> </w:t>
      </w:r>
      <w:r>
        <w:t xml:space="preserve">to </w:t>
      </w:r>
      <w:r w:rsidRPr="00164B1A">
        <w:t xml:space="preserve">the </w:t>
      </w:r>
      <w:r>
        <w:t xml:space="preserve">agency </w:t>
      </w:r>
      <w:r w:rsidRPr="00164B1A">
        <w:t xml:space="preserve">for </w:t>
      </w:r>
      <w:r>
        <w:t xml:space="preserve">inclusion in the </w:t>
      </w:r>
      <w:r w:rsidRPr="00164B1A">
        <w:t xml:space="preserve">disclosure in the </w:t>
      </w:r>
      <w:r>
        <w:t xml:space="preserve">agency’s </w:t>
      </w:r>
      <w:r w:rsidRPr="00164B1A">
        <w:t>financial</w:t>
      </w:r>
      <w:r>
        <w:t xml:space="preserve"> statements</w:t>
      </w:r>
      <w:r w:rsidRPr="00164B1A">
        <w:t>.</w:t>
      </w:r>
      <w:r>
        <w:rPr>
          <w:noProof/>
          <w:lang w:eastAsia="en-AU"/>
        </w:rPr>
        <mc:AlternateContent>
          <mc:Choice Requires="wpg">
            <w:drawing>
              <wp:anchor distT="0" distB="0" distL="114300" distR="114300" simplePos="0" relativeHeight="251659264" behindDoc="0" locked="0" layoutInCell="1" allowOverlap="1" wp14:anchorId="47ECB3B9" wp14:editId="5EB7A8E1">
                <wp:simplePos x="0" y="0"/>
                <wp:positionH relativeFrom="column">
                  <wp:posOffset>-358140</wp:posOffset>
                </wp:positionH>
                <wp:positionV relativeFrom="paragraph">
                  <wp:posOffset>955040</wp:posOffset>
                </wp:positionV>
                <wp:extent cx="6817360" cy="7957185"/>
                <wp:effectExtent l="0" t="0" r="21590" b="24765"/>
                <wp:wrapNone/>
                <wp:docPr id="5" name="Group 5" descr="Flow Chart - Identifying KMP of your Entity" title="Flow Chart - Identifying KMP of your Entity"/>
                <wp:cNvGraphicFramePr/>
                <a:graphic xmlns:a="http://schemas.openxmlformats.org/drawingml/2006/main">
                  <a:graphicData uri="http://schemas.microsoft.com/office/word/2010/wordprocessingGroup">
                    <wpg:wgp>
                      <wpg:cNvGrpSpPr/>
                      <wpg:grpSpPr>
                        <a:xfrm>
                          <a:off x="0" y="0"/>
                          <a:ext cx="6817360" cy="7957185"/>
                          <a:chOff x="0" y="0"/>
                          <a:chExt cx="6524625" cy="6543675"/>
                        </a:xfrm>
                      </wpg:grpSpPr>
                      <wps:wsp>
                        <wps:cNvPr id="27" name="Flowchart: Process 27"/>
                        <wps:cNvSpPr/>
                        <wps:spPr>
                          <a:xfrm>
                            <a:off x="0" y="9525"/>
                            <a:ext cx="1857375" cy="933450"/>
                          </a:xfrm>
                          <a:prstGeom prst="flowChartProcess">
                            <a:avLst/>
                          </a:prstGeom>
                        </wps:spPr>
                        <wps:style>
                          <a:lnRef idx="2">
                            <a:schemeClr val="accent6"/>
                          </a:lnRef>
                          <a:fillRef idx="1">
                            <a:schemeClr val="lt1"/>
                          </a:fillRef>
                          <a:effectRef idx="0">
                            <a:schemeClr val="accent6"/>
                          </a:effectRef>
                          <a:fontRef idx="minor">
                            <a:schemeClr val="dk1"/>
                          </a:fontRef>
                        </wps:style>
                        <wps:txbx>
                          <w:txbxContent>
                            <w:p w:rsidR="006C5353" w:rsidRDefault="006C5353" w:rsidP="006C5353">
                              <w:pPr>
                                <w:pStyle w:val="Default"/>
                              </w:pPr>
                              <w:r>
                                <w:t xml:space="preserve">Does the person have authority and responsibility for decision making for the agency?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Flowchart: Process 2"/>
                        <wps:cNvSpPr/>
                        <wps:spPr>
                          <a:xfrm>
                            <a:off x="5572125" y="0"/>
                            <a:ext cx="952500" cy="6381750"/>
                          </a:xfrm>
                          <a:prstGeom prst="flowChartProcess">
                            <a:avLst/>
                          </a:prstGeom>
                        </wps:spPr>
                        <wps:style>
                          <a:lnRef idx="2">
                            <a:schemeClr val="accent6"/>
                          </a:lnRef>
                          <a:fillRef idx="1">
                            <a:schemeClr val="lt1"/>
                          </a:fillRef>
                          <a:effectRef idx="0">
                            <a:schemeClr val="accent6"/>
                          </a:effectRef>
                          <a:fontRef idx="minor">
                            <a:schemeClr val="dk1"/>
                          </a:fontRef>
                        </wps:style>
                        <wps:txbx>
                          <w:txbxContent>
                            <w:p w:rsidR="006C5353" w:rsidRDefault="006C5353" w:rsidP="006C5353">
                              <w:pPr>
                                <w:pStyle w:val="Default"/>
                              </w:pPr>
                              <w:r>
                                <w:t>The person is</w:t>
                              </w:r>
                              <w:r w:rsidRPr="00E6095E">
                                <w:rPr>
                                  <w:rStyle w:val="Strong"/>
                                </w:rPr>
                                <w:t xml:space="preserve"> not</w:t>
                              </w:r>
                              <w:r>
                                <w:t xml:space="preserve"> considered KMP of the reporting entity and does not need to complete a declaration.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ight Arrow 3"/>
                        <wps:cNvSpPr/>
                        <wps:spPr>
                          <a:xfrm>
                            <a:off x="1981200" y="200025"/>
                            <a:ext cx="3343275" cy="51435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6C5353" w:rsidRDefault="006C5353" w:rsidP="006C5353">
                              <w:pPr>
                                <w:jc w:val="center"/>
                              </w:pPr>
                              <w:r>
                                <w:t>No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Flowchart: Process 4"/>
                        <wps:cNvSpPr/>
                        <wps:spPr>
                          <a:xfrm>
                            <a:off x="0" y="1962150"/>
                            <a:ext cx="1857375" cy="933450"/>
                          </a:xfrm>
                          <a:prstGeom prst="flowChartProcess">
                            <a:avLst/>
                          </a:prstGeom>
                        </wps:spPr>
                        <wps:style>
                          <a:lnRef idx="2">
                            <a:schemeClr val="accent6"/>
                          </a:lnRef>
                          <a:fillRef idx="1">
                            <a:schemeClr val="lt1"/>
                          </a:fillRef>
                          <a:effectRef idx="0">
                            <a:schemeClr val="accent6"/>
                          </a:effectRef>
                          <a:fontRef idx="minor">
                            <a:schemeClr val="dk1"/>
                          </a:fontRef>
                        </wps:style>
                        <wps:txbx>
                          <w:txbxContent>
                            <w:p w:rsidR="006C5353" w:rsidRDefault="006C5353" w:rsidP="006C5353">
                              <w:pPr>
                                <w:pStyle w:val="Default"/>
                              </w:pPr>
                              <w:r>
                                <w:t>Is the person a member of the Executive Board or Senior Executive Group of the agency?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Flowchart: Process 7"/>
                        <wps:cNvSpPr/>
                        <wps:spPr>
                          <a:xfrm>
                            <a:off x="2733675" y="1943100"/>
                            <a:ext cx="1857375" cy="933450"/>
                          </a:xfrm>
                          <a:prstGeom prst="flowChartProcess">
                            <a:avLst/>
                          </a:prstGeom>
                          <a:solidFill>
                            <a:sysClr val="window" lastClr="FFFFFF"/>
                          </a:solidFill>
                          <a:ln w="12700" cap="flat" cmpd="sng" algn="ctr">
                            <a:solidFill>
                              <a:srgbClr val="70AD47"/>
                            </a:solidFill>
                            <a:prstDash val="solid"/>
                            <a:miter lim="800000"/>
                          </a:ln>
                          <a:effectLst/>
                        </wps:spPr>
                        <wps:txbx>
                          <w:txbxContent>
                            <w:p w:rsidR="006C5353" w:rsidRPr="001D352C" w:rsidRDefault="006C5353" w:rsidP="006C5353">
                              <w:pPr>
                                <w:pStyle w:val="Default"/>
                              </w:pPr>
                              <w:r w:rsidRPr="00E735F4">
                                <w:t>Does the person</w:t>
                              </w:r>
                              <w:r>
                                <w:t xml:space="preserve">’s decision making </w:t>
                              </w:r>
                              <w:r w:rsidRPr="00E6095E">
                                <w:rPr>
                                  <w:rStyle w:val="Strong"/>
                                </w:rPr>
                                <w:t>significantly</w:t>
                              </w:r>
                              <w:r>
                                <w:t xml:space="preserve"> affect the agency’s outcomes? </w:t>
                              </w:r>
                            </w:p>
                            <w:p w:rsidR="006C5353" w:rsidRDefault="006C5353" w:rsidP="006C5353">
                              <w:r w:rsidRPr="001D352C">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Down Arrow 11"/>
                        <wps:cNvSpPr/>
                        <wps:spPr>
                          <a:xfrm>
                            <a:off x="3810000" y="2962275"/>
                            <a:ext cx="495300" cy="3000375"/>
                          </a:xfrm>
                          <a:prstGeom prst="downArrow">
                            <a:avLst/>
                          </a:prstGeom>
                          <a:ln/>
                        </wps:spPr>
                        <wps:style>
                          <a:lnRef idx="1">
                            <a:schemeClr val="accent6"/>
                          </a:lnRef>
                          <a:fillRef idx="2">
                            <a:schemeClr val="accent6"/>
                          </a:fillRef>
                          <a:effectRef idx="1">
                            <a:schemeClr val="accent6"/>
                          </a:effectRef>
                          <a:fontRef idx="minor">
                            <a:schemeClr val="dk1"/>
                          </a:fontRef>
                        </wps:style>
                        <wps:txbx>
                          <w:txbxContent>
                            <w:p w:rsidR="006C5353" w:rsidRDefault="006C5353" w:rsidP="006C5353">
                              <w:pPr>
                                <w:jc w:val="center"/>
                              </w:pPr>
                              <w:r>
                                <w:t>Yes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Flowchart: Process 13"/>
                        <wps:cNvSpPr/>
                        <wps:spPr>
                          <a:xfrm>
                            <a:off x="95250" y="6076950"/>
                            <a:ext cx="4581525" cy="466725"/>
                          </a:xfrm>
                          <a:prstGeom prst="flowChartProcess">
                            <a:avLst/>
                          </a:prstGeom>
                          <a:solidFill>
                            <a:sysClr val="window" lastClr="FFFFFF"/>
                          </a:solidFill>
                          <a:ln w="12700" cap="flat" cmpd="sng" algn="ctr">
                            <a:solidFill>
                              <a:srgbClr val="70AD47"/>
                            </a:solidFill>
                            <a:prstDash val="solid"/>
                            <a:miter lim="800000"/>
                          </a:ln>
                          <a:effectLst/>
                        </wps:spPr>
                        <wps:txbx>
                          <w:txbxContent>
                            <w:p w:rsidR="006C5353" w:rsidRPr="0074630E" w:rsidRDefault="006C5353" w:rsidP="006C5353">
                              <w:pPr>
                                <w:pStyle w:val="Default"/>
                              </w:pPr>
                              <w:r w:rsidRPr="0074630E">
                                <w:t>The person</w:t>
                              </w:r>
                              <w:r>
                                <w:t xml:space="preserve"> </w:t>
                              </w:r>
                              <w:r w:rsidRPr="0074630E">
                                <w:t>is considered KMP and is required to complete a declaration.</w:t>
                              </w:r>
                            </w:p>
                            <w:p w:rsidR="006C5353" w:rsidRDefault="006C5353" w:rsidP="006C535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ight Arrow 15"/>
                        <wps:cNvSpPr/>
                        <wps:spPr>
                          <a:xfrm>
                            <a:off x="4686300" y="2190750"/>
                            <a:ext cx="771525" cy="523875"/>
                          </a:xfrm>
                          <a:prstGeom prst="rightArrow">
                            <a:avLst/>
                          </a:prstGeom>
                          <a:ln/>
                        </wps:spPr>
                        <wps:style>
                          <a:lnRef idx="2">
                            <a:schemeClr val="accent1">
                              <a:shade val="50000"/>
                            </a:schemeClr>
                          </a:lnRef>
                          <a:fillRef idx="1">
                            <a:schemeClr val="accent1"/>
                          </a:fillRef>
                          <a:effectRef idx="0">
                            <a:schemeClr val="accent1"/>
                          </a:effectRef>
                          <a:fontRef idx="minor">
                            <a:schemeClr val="lt1"/>
                          </a:fontRef>
                        </wps:style>
                        <wps:txbx>
                          <w:txbxContent>
                            <w:p w:rsidR="006C5353" w:rsidRDefault="006C5353" w:rsidP="006C5353">
                              <w:pPr>
                                <w:jc w:val="center"/>
                              </w:pPr>
                              <w:r>
                                <w:t>No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Flowchart: Process 18"/>
                        <wps:cNvSpPr/>
                        <wps:spPr>
                          <a:xfrm>
                            <a:off x="0" y="3952875"/>
                            <a:ext cx="1857375" cy="1162050"/>
                          </a:xfrm>
                          <a:prstGeom prst="flowChartProcess">
                            <a:avLst/>
                          </a:prstGeom>
                          <a:solidFill>
                            <a:sysClr val="window" lastClr="FFFFFF"/>
                          </a:solidFill>
                          <a:ln w="12700" cap="flat" cmpd="sng" algn="ctr">
                            <a:solidFill>
                              <a:srgbClr val="70AD47"/>
                            </a:solidFill>
                            <a:prstDash val="solid"/>
                            <a:miter lim="800000"/>
                          </a:ln>
                          <a:effectLst/>
                        </wps:spPr>
                        <wps:txbx>
                          <w:txbxContent>
                            <w:p w:rsidR="006C5353" w:rsidRDefault="006C5353" w:rsidP="006C5353">
                              <w:pPr>
                                <w:pStyle w:val="Default"/>
                              </w:pPr>
                              <w:r>
                                <w:t>Does the person or the group collectively have authority or responsibility for planning, directing and controlling the activities of the agency as a whole?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Down Arrow 19"/>
                        <wps:cNvSpPr/>
                        <wps:spPr>
                          <a:xfrm>
                            <a:off x="704850" y="5219700"/>
                            <a:ext cx="495300" cy="742950"/>
                          </a:xfrm>
                          <a:prstGeom prst="downArrow">
                            <a:avLst/>
                          </a:prstGeom>
                          <a:ln/>
                        </wps:spPr>
                        <wps:style>
                          <a:lnRef idx="1">
                            <a:schemeClr val="accent6"/>
                          </a:lnRef>
                          <a:fillRef idx="2">
                            <a:schemeClr val="accent6"/>
                          </a:fillRef>
                          <a:effectRef idx="1">
                            <a:schemeClr val="accent6"/>
                          </a:effectRef>
                          <a:fontRef idx="minor">
                            <a:schemeClr val="dk1"/>
                          </a:fontRef>
                        </wps:style>
                        <wps:txbx>
                          <w:txbxContent>
                            <w:p w:rsidR="006C5353" w:rsidRDefault="006C5353" w:rsidP="006C5353">
                              <w:pPr>
                                <w:jc w:val="center"/>
                              </w:pPr>
                              <w:r>
                                <w:t>Yes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Bent-Up Arrow 21"/>
                        <wps:cNvSpPr/>
                        <wps:spPr>
                          <a:xfrm>
                            <a:off x="1981200" y="3038475"/>
                            <a:ext cx="1352550" cy="1762125"/>
                          </a:xfrm>
                          <a:prstGeom prst="bentUpArrow">
                            <a:avLst>
                              <a:gd name="adj1" fmla="val 17958"/>
                              <a:gd name="adj2" fmla="val 15311"/>
                              <a:gd name="adj3" fmla="val 23951"/>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6C5353" w:rsidRDefault="006C5353" w:rsidP="006C5353">
                              <w:pPr>
                                <w:jc w:val="center"/>
                              </w:pPr>
                              <w:r>
                                <w:t>No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Right Arrow 24"/>
                        <wps:cNvSpPr/>
                        <wps:spPr>
                          <a:xfrm>
                            <a:off x="1905000" y="2095500"/>
                            <a:ext cx="771525" cy="523875"/>
                          </a:xfrm>
                          <a:prstGeom prst="rightArrow">
                            <a:avLst/>
                          </a:prstGeom>
                          <a:ln/>
                        </wps:spPr>
                        <wps:style>
                          <a:lnRef idx="2">
                            <a:schemeClr val="accent1">
                              <a:shade val="50000"/>
                            </a:schemeClr>
                          </a:lnRef>
                          <a:fillRef idx="1">
                            <a:schemeClr val="accent1"/>
                          </a:fillRef>
                          <a:effectRef idx="0">
                            <a:schemeClr val="accent1"/>
                          </a:effectRef>
                          <a:fontRef idx="minor">
                            <a:schemeClr val="lt1"/>
                          </a:fontRef>
                        </wps:style>
                        <wps:txbx>
                          <w:txbxContent>
                            <w:p w:rsidR="006C5353" w:rsidRDefault="006C5353" w:rsidP="006C5353">
                              <w:pPr>
                                <w:jc w:val="center"/>
                              </w:pPr>
                              <w:r>
                                <w:t>No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Down Arrow 6"/>
                        <wps:cNvSpPr/>
                        <wps:spPr>
                          <a:xfrm>
                            <a:off x="714375" y="3019425"/>
                            <a:ext cx="495300" cy="742950"/>
                          </a:xfrm>
                          <a:prstGeom prst="downArrow">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rsidR="006C5353" w:rsidRDefault="006C5353" w:rsidP="006C5353">
                              <w:pPr>
                                <w:jc w:val="center"/>
                              </w:pPr>
                              <w:r>
                                <w:t>Yes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Down Arrow 8"/>
                        <wps:cNvSpPr/>
                        <wps:spPr>
                          <a:xfrm>
                            <a:off x="704850" y="1047750"/>
                            <a:ext cx="495300" cy="742950"/>
                          </a:xfrm>
                          <a:prstGeom prst="downArrow">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rsidR="006C5353" w:rsidRDefault="006C5353" w:rsidP="006C5353">
                              <w:pPr>
                                <w:jc w:val="center"/>
                              </w:pPr>
                              <w:r>
                                <w:t>Yes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7ECB3B9" id="Group 5" o:spid="_x0000_s1026" alt="Title: Flow Chart - Identifying KMP of your Entity - Description: Flow Chart - Identifying KMP of your Entity" style="position:absolute;margin-left:-28.2pt;margin-top:75.2pt;width:536.8pt;height:626.55pt;z-index:251659264;mso-width-relative:margin;mso-height-relative:margin" coordsize="65246,65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E+udwcAAKA6AAAOAAAAZHJzL2Uyb0RvYy54bWzsW1lv2zgQfl9g/4Og99aiTtuoU2STpii2&#10;R9ADfWZ02NqVRC3J1PH++p0ZSvIRJbHTA1hHeXAknsMh5/qGevHypiysb6lUuahmNnvu2FZaxSLJ&#10;q/nM/vL54tnYtpTmVcILUaUze5Uq++XJ77+9WNbT1BULUSSptGCQSk2X9cxeaF1PRyMVL9KSq+ei&#10;TiuozIQsuYZXOR8lki9h9LIYuY4TjpZCJrUUcaoUlJ6bSvuExs+yNNYfskyl2ipmNtCm6VfS7xX+&#10;jk5e8Olc8nqRxw0Z/BFUlDyvYNJuqHOuuXUt81tDlXkshRKZfh6LciSyLI9TWgOshjk7q3ktxXVN&#10;a5lPl/O6YxOwdodPjx42fv/tUlp5MrMD26p4CVtEs1rwmqQqBlZdFGJpnS241NYz602SVjrPVsBr&#10;6893l5bIrJW4ltYrKNUrYHCuCxjjkD6wBct6PgVKXsv6U30pm4K5eUOu3mSyxP/AL+uGNm/VbV56&#10;o60YCsMxi7wQ9jiGumgSRGwcmO2NF3AGbvWLF6/anoHrhy4sGHuGge+FEfUctROPkL6OnGUNR1Wt&#10;d0N93258WvA6pU1WyINmN9yo3Q5kZYzcn1qX5pxbUEk8og4dx9RUAfPuZNckgCXScW85BgyKPFgq&#10;rXvieX5A8tAtm09rqfTrVJQWPszsDEihg9AQQieef3urNIwL3drm8IJMMuTQk14VKVJWVB/TDI4b&#10;7JdLvUnQ07NCWt84iCiPYzhfIdIJ41Fr7JblRdF1ZH0dC82aTk1b7JaSAug6On0dt2fsetCsotJd&#10;5zKvhOwbIPm7m9m0b1dv1ozL1zdXN82GXYlkBVsshdFEqo4vcuDtW670JZegeuAAgzrVH+AH2T2z&#10;RfNkWwsh/+0rx/ZwBqHWtpagyma2+ueay9S2ijcVnM4J833UffTiB5ELL3Kz5mqzprouzwRsBQPF&#10;Xcf0iO110T5mUpRfQeue4qxQxasY5p7ZsZbty5k2Khb0dpyenlIz0Hc112+rT3WMgyOD8bx8vvnK&#10;Zd0cMA1H871oJYJPd86WaYs9K3F6rUWW08FDFhu+NqwH6USd8ivE9D4pPUhIA9gXhkrotmZDyXWA&#10;0aSePFBzg5z+PDklW0gSvT5Wg7geibh6rbh+zOcLbZ1KCa6Nd5CcssmYgeNJcgr/nV2jCmbUc1uj&#10;GjDfe0hYJZJClBCTd1QeWt/WoJB1x1OpDjOnjcFc8CQ1Vha0CazA2NjOAB9qcY3h7GyfsdCHWd22&#10;8yOkecPe32d1SZrddoMH43tUxtdvpbnHRfbbPQeXel8PmU1ClxlxBd+xCQ4GJ/mWW/4Icd3TSSZx&#10;7fTxIK5HJa73RbSHBbRu5FGMjr4ym/geM9bslwgtnypR5MkF2Ds0dmqluuAVYKlELCHqgmAOCgEF&#10;ob/W0G52KyoLQjvmRuTXY8iWFVyDi1/WCYRv1RwiqWIOiBoGVTTPZm8l51fdrJFzeu4T/yBi3qIN&#10;w6tzrhbG6FMV0sKnZa4BdCvycmaP0RVofYGiWtvvJqgnd6NzPDCQJRnt1OsRyyhshwltn0w0yyDm&#10;NxjguVhWjXsMhQ12sZcphfiUThTKpgsGFX1hOnStQfUngUenHhrAg4MIlHFFW5SvhZEaUABkqnrA&#10;P0aoCMfYPq19bnIveLSNAfWjTnvAVXcjT3vM+pONKvF4iGiPDoBiXUjb4wRD5SGiSzgTBbahE4WT&#10;XU/YD8YMMWTCofwwjEzo+yPg4h3D9USNKsHeg4wen4yCzBizugk7sU4l72VX/XAckt1Eu8omTgMC&#10;r33eKFpLZ+B644fM6j640/529R7z+NThpy62OWJf+SnmfhhcbTBi3Wd6xweZXoMne2CBG7ldy/UW&#10;AMVY6DoPIcqYN9wvTTvYXbz50G3VIKBHBTixSSugm+Hs5CDBjBx/DPKG0WwAZhfxmjuj2ch3G6f5&#10;bp94CGa/7xoFoU/dFg4Ce1QC63b40x9wC+jZl7qBoKD8kDh2M0XrOd7Y34WgmAdxLEo13qhgEWR9&#10;Hgplr4CeL/UOCoVg6TxpfACe/AXUZ2UBd3jgKpPF4AoaGZbtNu5Wm8Az6Np2Gwjp1+O44BS0eVLK&#10;DVOetoXI9sK8Bt/cAIPbF7JIkzBS50PMfXQxt9slhzdjbig9TJGAr41YNcbczgRUxo71H2LuNFun&#10;jLq7kvdctGxV2SPg7kOufKyTFoOLcFQuQtjj0ne46V5AWgR3ssAhQJn2HMge717g2sxP/TCPHr4w&#10;oJQx3iT8musFXXFtr8HOFSRbyZlQVi3gwm4jPz1ZXmxVXJfvRGKSuswk2ygkUVyvy43ionKdV9q0&#10;DiF8aXO9TQ6ZvIm52pzd3A7Dkr488y0KNmbapgCTeyZYWlMQtYWYqzbr66GAFnUAE+4kYdJDAuUn&#10;ka4eEqCo24wiryD/C59aBD6MglZAxbxIAS9oWdhuKrGEEvoh3vaz4v9fPp8Nd+Sso7yg3mGUGxBI&#10;h3ftpy/XCAhz/OhW3mHQl6QdBn35pPRll1kf/Mtf5V/SV3jwGaRxGMwnm/id5eY7PG9+WHryHwAA&#10;AP//AwBQSwMEFAAGAAgAAAAhAImwRTTiAAAADQEAAA8AAABkcnMvZG93bnJldi54bWxMj0FrwkAQ&#10;he+F/odlCr3pbtTYkmYjIm1PUqgWxNuYjEkwuxuyaxL/fcdTe3vD+3jzXroaTSN66nztrIZoqkCQ&#10;zV1R21LDz/5j8grCB7QFNs6Shht5WGWPDykmhRvsN/W7UAoOsT5BDVUIbSKlzysy6KeuJcve2XUG&#10;A59dKYsOBw43jZwptZQGa8sfKmxpU1F+2V2Nhs8Bh/U8eu+3l/PmdtzHX4dtRFo/P43rNxCBxvAH&#10;w70+V4eMO53c1RZeNBom8XLBKBuxYnEnVPQyA3FitVDzGGSWyv8rsl8AAAD//wMAUEsBAi0AFAAG&#10;AAgAAAAhALaDOJL+AAAA4QEAABMAAAAAAAAAAAAAAAAAAAAAAFtDb250ZW50X1R5cGVzXS54bWxQ&#10;SwECLQAUAAYACAAAACEAOP0h/9YAAACUAQAACwAAAAAAAAAAAAAAAAAvAQAAX3JlbHMvLnJlbHNQ&#10;SwECLQAUAAYACAAAACEAeahPrncHAACgOgAADgAAAAAAAAAAAAAAAAAuAgAAZHJzL2Uyb0RvYy54&#10;bWxQSwECLQAUAAYACAAAACEAibBFNOIAAAANAQAADwAAAAAAAAAAAAAAAADRCQAAZHJzL2Rvd25y&#10;ZXYueG1sUEsFBgAAAAAEAAQA8wAAAOAKAAAAAA==&#10;">
                <v:shapetype id="_x0000_t109" coordsize="21600,21600" o:spt="109" path="m,l,21600r21600,l21600,xe">
                  <v:stroke joinstyle="miter"/>
                  <v:path gradientshapeok="t" o:connecttype="rect"/>
                </v:shapetype>
                <v:shape id="Flowchart: Process 27" o:spid="_x0000_s1027" type="#_x0000_t109" style="position:absolute;top:95;width:18573;height:93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qF1sQA&#10;AADbAAAADwAAAGRycy9kb3ducmV2LnhtbESPS2vCQBSF90L/w3ALbqRO6kJD6ihSFF+rpqXQ3SVz&#10;mwQzd8LMROO/dwTB5eE8Ps582ZtGnMn52rKC93ECgriwuuZSwc/35i0F4QOyxsYyKbiSh+XiZTDH&#10;TNsLf9E5D6WII+wzVFCF0GZS+qIig35sW+Lo/VtnMETpSqkdXuK4aeQkSabSYM2RUGFLnxUVp7wz&#10;kdttR+uDcenxZNerspv+peZ3r9TwtV99gAjUh2f40d5pBZMZ3L/EHyA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6hdbEAAAA2wAAAA8AAAAAAAAAAAAAAAAAmAIAAGRycy9k&#10;b3ducmV2LnhtbFBLBQYAAAAABAAEAPUAAACJAwAAAAA=&#10;" fillcolor="white [3201]" strokecolor="#f79646 [3209]" strokeweight="2pt">
                  <v:textbox>
                    <w:txbxContent>
                      <w:p w:rsidR="006C5353" w:rsidRDefault="006C5353" w:rsidP="006C5353">
                        <w:pPr>
                          <w:pStyle w:val="Default"/>
                        </w:pPr>
                        <w:r>
                          <w:t xml:space="preserve">Does the person have authority and responsibility for decision making for the agency? </w:t>
                        </w:r>
                      </w:p>
                    </w:txbxContent>
                  </v:textbox>
                </v:shape>
                <v:shape id="Flowchart: Process 2" o:spid="_x0000_s1028" type="#_x0000_t109" style="position:absolute;left:55721;width:9525;height:638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DOScMA&#10;AADaAAAADwAAAGRycy9kb3ducmV2LnhtbESPzWrCQBSF9wXfYbiCm6ITXYSQOkookdZ2VVsK7i6Z&#10;2ySYuRNmJia+vVModHk4Px9nu59MJ67kfGtZwXqVgCCurG65VvD1eVhmIHxA1thZJgU38rDfzR62&#10;mGs78gddT6EWcYR9jgqaEPpcSl81ZNCvbE8cvR/rDIYoXS21wzGOm05ukiSVBluOhAZ7em6oupwG&#10;E7nDy2P5Zlz2frFlUQ/pOTPfR6UW86l4AhFoCv/hv/arVrCB3yvxBsjd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fDOScMAAADaAAAADwAAAAAAAAAAAAAAAACYAgAAZHJzL2Rv&#10;d25yZXYueG1sUEsFBgAAAAAEAAQA9QAAAIgDAAAAAA==&#10;" fillcolor="white [3201]" strokecolor="#f79646 [3209]" strokeweight="2pt">
                  <v:textbox>
                    <w:txbxContent>
                      <w:p w:rsidR="006C5353" w:rsidRDefault="006C5353" w:rsidP="006C5353">
                        <w:pPr>
                          <w:pStyle w:val="Default"/>
                        </w:pPr>
                        <w:r>
                          <w:t>The person is</w:t>
                        </w:r>
                        <w:r w:rsidRPr="00E6095E">
                          <w:rPr>
                            <w:rStyle w:val="Strong"/>
                          </w:rPr>
                          <w:t xml:space="preserve"> not</w:t>
                        </w:r>
                        <w:r>
                          <w:t xml:space="preserve"> considered KMP of the reporting entity and does not need to complete a declaration.</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 o:spid="_x0000_s1029" type="#_x0000_t13" style="position:absolute;left:19812;top:2000;width:33432;height:5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L7wMMA&#10;AADaAAAADwAAAGRycy9kb3ducmV2LnhtbESP0WoCMRRE3wX/IVzBF9GsFotsjSKC6EOpdPUDbje3&#10;m6WbmzWJuv37piD4OMzMGWa57mwjbuRD7VjBdJKBIC6drrlScD7txgsQISJrbByTgl8KsF71e0vM&#10;tbvzJ92KWIkE4ZCjAhNjm0sZSkMWw8S1xMn7dt5iTNJXUnu8J7ht5CzLXqXFmtOCwZa2hsqf4moV&#10;VLvL/DLbf1g8HjajtvbBfG3flRoOus0biEhdfIYf7YNW8AL/V9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CL7wMMAAADaAAAADwAAAAAAAAAAAAAAAACYAgAAZHJzL2Rv&#10;d25yZXYueG1sUEsFBgAAAAAEAAQA9QAAAIgDAAAAAA==&#10;" adj="19938" fillcolor="#4f81bd [3204]" strokecolor="#243f60 [1604]" strokeweight="2pt">
                  <v:textbox>
                    <w:txbxContent>
                      <w:p w:rsidR="006C5353" w:rsidRDefault="006C5353" w:rsidP="006C5353">
                        <w:pPr>
                          <w:jc w:val="center"/>
                        </w:pPr>
                        <w:r>
                          <w:t>No</w:t>
                        </w:r>
                      </w:p>
                    </w:txbxContent>
                  </v:textbox>
                </v:shape>
                <v:shape id="Flowchart: Process 4" o:spid="_x0000_s1030" type="#_x0000_t109" style="position:absolute;top:19621;width:18573;height:93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XzpsMA&#10;AADaAAAADwAAAGRycy9kb3ducmV2LnhtbESPS2vCQBSF90L/w3ALbkQnliIhdRQpSn2sTIvQ3SVz&#10;mwQzd8LMROO/7wiCy8N5fJz5sjeNuJDztWUF00kCgriwuuZSwc/3ZpyC8AFZY2OZFNzIw3LxMphj&#10;pu2Vj3TJQyniCPsMFVQhtJmUvqjIoJ/Yljh6f9YZDFG6UmqH1zhuGvmWJDNpsOZIqLClz4qKc96Z&#10;yO2+Ruu9cenhbNerspv9pua0U2r42q8+QATqwzP8aG+1gne4X4k3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VXzpsMAAADaAAAADwAAAAAAAAAAAAAAAACYAgAAZHJzL2Rv&#10;d25yZXYueG1sUEsFBgAAAAAEAAQA9QAAAIgDAAAAAA==&#10;" fillcolor="white [3201]" strokecolor="#f79646 [3209]" strokeweight="2pt">
                  <v:textbox>
                    <w:txbxContent>
                      <w:p w:rsidR="006C5353" w:rsidRDefault="006C5353" w:rsidP="006C5353">
                        <w:pPr>
                          <w:pStyle w:val="Default"/>
                        </w:pPr>
                        <w:r>
                          <w:t>Is the person a member of the Executive Board or Senior Executive Group of the agency?</w:t>
                        </w:r>
                      </w:p>
                    </w:txbxContent>
                  </v:textbox>
                </v:shape>
                <v:shape id="Flowchart: Process 7" o:spid="_x0000_s1031" type="#_x0000_t109" style="position:absolute;left:27336;top:19431;width:18574;height:93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hDTMMA&#10;AADaAAAADwAAAGRycy9kb3ducmV2LnhtbESPQWvCQBSE7wX/w/IK3uomEVpN3Yg0CB4KpdGLt0f2&#10;NVmafRuzWxP/vVso9DjMzDfMZjvZTlxp8MaxgnSRgCCunTbcKDgd908rED4ga+wck4IbedgWs4cN&#10;5tqN/EnXKjQiQtjnqKANoc+l9HVLFv3C9cTR+3KDxRDl0Eg94BjhtpNZkjxLi4bjQos9vbVUf1c/&#10;VsH5UplUe16XvsRsefmokvHdKDV/nHavIAJN4T/81z5oBS/weyXeAFn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rhDTMMAAADaAAAADwAAAAAAAAAAAAAAAACYAgAAZHJzL2Rv&#10;d25yZXYueG1sUEsFBgAAAAAEAAQA9QAAAIgDAAAAAA==&#10;" fillcolor="window" strokecolor="#70ad47" strokeweight="1pt">
                  <v:textbox>
                    <w:txbxContent>
                      <w:p w:rsidR="006C5353" w:rsidRPr="001D352C" w:rsidRDefault="006C5353" w:rsidP="006C5353">
                        <w:pPr>
                          <w:pStyle w:val="Default"/>
                        </w:pPr>
                        <w:r w:rsidRPr="00E735F4">
                          <w:t>Does the person</w:t>
                        </w:r>
                        <w:r>
                          <w:t xml:space="preserve">’s decision making </w:t>
                        </w:r>
                        <w:r w:rsidRPr="00E6095E">
                          <w:rPr>
                            <w:rStyle w:val="Strong"/>
                          </w:rPr>
                          <w:t>significantly</w:t>
                        </w:r>
                        <w:r>
                          <w:t xml:space="preserve"> affect the agency’s outcomes? </w:t>
                        </w:r>
                      </w:p>
                      <w:p w:rsidR="006C5353" w:rsidRDefault="006C5353" w:rsidP="006C5353">
                        <w:r w:rsidRPr="001D352C">
                          <w:t xml:space="preserve"> </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11" o:spid="_x0000_s1032" type="#_x0000_t67" style="position:absolute;left:38100;top:29622;width:4953;height:300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dOUcEA&#10;AADbAAAADwAAAGRycy9kb3ducmV2LnhtbERPO2vDMBDeC/kP4gpdSiKnQwlOlFBKCh1rO0OyHdb5&#10;UVsnYym2+u+jQCHbfXzP2x2C6cVEo2stK1ivEhDEpdUt1wpOxddyA8J5ZI29ZVLwRw4O+8XTDlNt&#10;Z85oyn0tYgi7FBU03g+plK5syKBb2YE4cpUdDfoIx1rqEecYbnr5liTv0mDLsaHBgT4bKrv8ahRU&#10;4XS+0G9ehatLXn+Kc5fp7qjUy3P42ILwFPxD/O/+1nH+Gu6/xAPk/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u3TlHBAAAA2wAAAA8AAAAAAAAAAAAAAAAAmAIAAGRycy9kb3du&#10;cmV2LnhtbFBLBQYAAAAABAAEAPUAAACGAwAAAAA=&#10;" adj="19817" fillcolor="#fbcaa2 [1625]" strokecolor="#f68c36 [3049]">
                  <v:fill color2="#fdefe3 [505]" rotate="t" angle="180" colors="0 #ffbe86;22938f #ffd0aa;1 #ffebdb" focus="100%" type="gradient"/>
                  <v:shadow on="t" color="black" opacity="24903f" origin=",.5" offset="0,.55556mm"/>
                  <v:textbox>
                    <w:txbxContent>
                      <w:p w:rsidR="006C5353" w:rsidRDefault="006C5353" w:rsidP="006C5353">
                        <w:pPr>
                          <w:jc w:val="center"/>
                        </w:pPr>
                        <w:r>
                          <w:t>Yes</w:t>
                        </w:r>
                      </w:p>
                    </w:txbxContent>
                  </v:textbox>
                </v:shape>
                <v:shape id="Flowchart: Process 13" o:spid="_x0000_s1033" type="#_x0000_t109" style="position:absolute;left:952;top:60769;width:45815;height:4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7VYcUA&#10;AADbAAAADwAAAGRycy9kb3ducmV2LnhtbESPQWvCQBCF7wX/wzIFb3VTrUVSVxFDoEgvjQoeh+wk&#10;G5qdDdnVpP76bqHQ2wzvzfverLejbcWNet84VvA8S0AQl043XCs4HfOnFQgfkDW2jknBN3nYbiYP&#10;a0y1G/iTbkWoRQxhn6ICE0KXSulLQxb9zHXEUatcbzHEta+l7nGI4baV8yR5lRYbjgSDHe0NlV/F&#10;1UZIVi0vH23WvSyPeXE/nIc9VrVS08dx9wYi0Bj+zX/X7zrWX8DvL3EAuf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btVhxQAAANsAAAAPAAAAAAAAAAAAAAAAAJgCAABkcnMv&#10;ZG93bnJldi54bWxQSwUGAAAAAAQABAD1AAAAigMAAAAA&#10;" fillcolor="window" strokecolor="#70ad47" strokeweight="1pt">
                  <v:textbox>
                    <w:txbxContent>
                      <w:p w:rsidR="006C5353" w:rsidRPr="0074630E" w:rsidRDefault="006C5353" w:rsidP="006C5353">
                        <w:pPr>
                          <w:pStyle w:val="Default"/>
                        </w:pPr>
                        <w:r w:rsidRPr="0074630E">
                          <w:t>The person</w:t>
                        </w:r>
                        <w:r>
                          <w:t xml:space="preserve"> </w:t>
                        </w:r>
                        <w:r w:rsidRPr="0074630E">
                          <w:t>is considered KMP and is required to complete a declaration.</w:t>
                        </w:r>
                      </w:p>
                      <w:p w:rsidR="006C5353" w:rsidRDefault="006C5353" w:rsidP="006C5353">
                        <w:pPr>
                          <w:jc w:val="center"/>
                        </w:pPr>
                      </w:p>
                    </w:txbxContent>
                  </v:textbox>
                </v:shape>
                <v:shape id="Right Arrow 15" o:spid="_x0000_s1034" type="#_x0000_t13" style="position:absolute;left:46863;top:21907;width:7715;height:5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LHycEA&#10;AADbAAAADwAAAGRycy9kb3ducmV2LnhtbERP32vCMBB+H/g/hBN8m6nCxqhGmYIyH+fEvh7Jre3W&#10;XEoSbetfvwwE3+7j+3nLdW8bcSUfascKZtMMBLF2puZSwelr9/wGIkRkg41jUjBQgPVq9LTE3LiO&#10;P+l6jKVIIRxyVFDF2OZSBl2RxTB1LXHivp23GBP0pTQeuxRuGznPsldpsebUUGFL24r07/FiFfxs&#10;ym64HYrtoM2t0H43L5rzXqnJuH9fgIjUx4f47v4waf4L/P+SDpCr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SCx8nBAAAA2wAAAA8AAAAAAAAAAAAAAAAAmAIAAGRycy9kb3du&#10;cmV2LnhtbFBLBQYAAAAABAAEAPUAAACGAwAAAAA=&#10;" adj="14267" fillcolor="#4f81bd [3204]" strokecolor="#243f60 [1604]" strokeweight="2pt">
                  <v:textbox>
                    <w:txbxContent>
                      <w:p w:rsidR="006C5353" w:rsidRDefault="006C5353" w:rsidP="006C5353">
                        <w:pPr>
                          <w:jc w:val="center"/>
                        </w:pPr>
                        <w:r>
                          <w:t>No</w:t>
                        </w:r>
                      </w:p>
                    </w:txbxContent>
                  </v:textbox>
                </v:shape>
                <v:shape id="Flowchart: Process 18" o:spid="_x0000_s1035" type="#_x0000_t109" style="position:absolute;top:39528;width:18573;height:116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pHEMQA&#10;AADbAAAADwAAAGRycy9kb3ducmV2LnhtbESPTWvCQBCG7wX/wzKCt7ppqUWiaygRoUgvjRZ6HLKT&#10;D8zOhuzWRH9951DobYZ5P57ZZpPr1JWG0Ho28LRMQBGX3rZcGzifDo9rUCEiW+w8k4EbBch2s4ct&#10;ptaP/EnXItZKQjikaKCJsU+1DmVDDsPS98Ryq/zgMMo61NoOOEq46/Rzkrxqhy1LQ4M95Q2Vl+LH&#10;Scm+Wn1/dPv+ZXU6FPfj15hjVRuzmE9vG1CRpvgv/nO/W8EXWPlFBtC7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KRxDEAAAA2wAAAA8AAAAAAAAAAAAAAAAAmAIAAGRycy9k&#10;b3ducmV2LnhtbFBLBQYAAAAABAAEAPUAAACJAwAAAAA=&#10;" fillcolor="window" strokecolor="#70ad47" strokeweight="1pt">
                  <v:textbox>
                    <w:txbxContent>
                      <w:p w:rsidR="006C5353" w:rsidRDefault="006C5353" w:rsidP="006C5353">
                        <w:pPr>
                          <w:pStyle w:val="Default"/>
                        </w:pPr>
                        <w:r>
                          <w:t>Does the person or the group collectively have authority or responsibility for planning, directing and controlling the activities of the agency as a whole?</w:t>
                        </w:r>
                      </w:p>
                    </w:txbxContent>
                  </v:textbox>
                </v:shape>
                <v:shape id="Down Arrow 19" o:spid="_x0000_s1036" type="#_x0000_t67" style="position:absolute;left:7048;top:52197;width:4953;height:7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6j5sEA&#10;AADbAAAADwAAAGRycy9kb3ducmV2LnhtbERPS4vCMBC+C/6HMAveNK3Col2jLKKunsTHxdvQTB9s&#10;MylNrF1//UYQvM3H95z5sjOVaKlxpWUF8SgCQZxaXXKu4HLeDKcgnEfWWFkmBX/kYLno9+aYaHvn&#10;I7Unn4sQwi5BBYX3dSKlSwsy6Ea2Jg5cZhuDPsAml7rBewg3lRxH0ac0WHJoKLCmVUHp7+lmFLjz&#10;ZDuLr+su/nncDvlBttmeM6UGH933FwhPnX+LX+6dDvNn8PwlHCA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0+o+bBAAAA2wAAAA8AAAAAAAAAAAAAAAAAmAIAAGRycy9kb3du&#10;cmV2LnhtbFBLBQYAAAAABAAEAPUAAACGAwAAAAA=&#10;" adj="14400" fillcolor="#fbcaa2 [1625]" strokecolor="#f68c36 [3049]">
                  <v:fill color2="#fdefe3 [505]" rotate="t" angle="180" colors="0 #ffbe86;22938f #ffd0aa;1 #ffebdb" focus="100%" type="gradient"/>
                  <v:shadow on="t" color="black" opacity="24903f" origin=",.5" offset="0,.55556mm"/>
                  <v:textbox>
                    <w:txbxContent>
                      <w:p w:rsidR="006C5353" w:rsidRDefault="006C5353" w:rsidP="006C5353">
                        <w:pPr>
                          <w:jc w:val="center"/>
                        </w:pPr>
                        <w:r>
                          <w:t>Yes</w:t>
                        </w:r>
                      </w:p>
                    </w:txbxContent>
                  </v:textbox>
                </v:shape>
                <v:shape id="Bent-Up Arrow 21" o:spid="_x0000_s1037" style="position:absolute;left:19812;top:30384;width:13525;height:17622;visibility:visible;mso-wrap-style:square;v-text-anchor:middle" coordsize="1352550,176212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eIoL4A&#10;AADbAAAADwAAAGRycy9kb3ducmV2LnhtbESPwQrCMBBE74L/EFbwpmkVRKpRRBE8eLEKXpdmbYvN&#10;pjTRVr/eCILHYWbeMMt1ZyrxpMaVlhXE4wgEcWZ1ybmCy3k/moNwHlljZZkUvMjBetXvLTHRtuUT&#10;PVOfiwBhl6CCwvs6kdJlBRl0Y1sTB+9mG4M+yCaXusE2wE0lJ1E0kwZLDgsF1rQtKLunD6Og2k53&#10;bE5xnNZ0feSblo/l+6rUcNBtFiA8df4f/rUPWsEkhu+X8APk6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hXiKC+AAAA2wAAAA8AAAAAAAAAAAAAAAAAmAIAAGRycy9kb3ducmV2&#10;LnhtbFBLBQYAAAAABAAEAPUAAACDAwAAAAA=&#10;" adj="-11796480,,5400" path="m,1519234r1024016,l1024016,323949r-85644,l1145461,r207089,323949l1266907,323949r,1438176l,1762125,,1519234xe" fillcolor="#4f81bd [3204]" strokecolor="#243f60 [1604]" strokeweight="2pt">
                  <v:stroke joinstyle="miter"/>
                  <v:formulas/>
                  <v:path arrowok="t" o:connecttype="custom" o:connectlocs="0,1519234;1024016,1519234;1024016,323949;938372,323949;1145461,0;1352550,323949;1266907,323949;1266907,1762125;0,1762125;0,1519234" o:connectangles="0,0,0,0,0,0,0,0,0,0" textboxrect="0,0,1352550,1762125"/>
                  <v:textbox>
                    <w:txbxContent>
                      <w:p w:rsidR="006C5353" w:rsidRDefault="006C5353" w:rsidP="006C5353">
                        <w:pPr>
                          <w:jc w:val="center"/>
                        </w:pPr>
                        <w:r>
                          <w:t>No</w:t>
                        </w:r>
                      </w:p>
                    </w:txbxContent>
                  </v:textbox>
                </v:shape>
                <v:shape id="Right Arrow 24" o:spid="_x0000_s1038" type="#_x0000_t13" style="position:absolute;left:19050;top:20955;width:7715;height:52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Ko78MA&#10;AADbAAAADwAAAGRycy9kb3ducmV2LnhtbESPQWvCQBSE7wX/w/IEb3XTUEpJXcUKSj1qpbk+dl+T&#10;1OzbsLuaxF/vFgo9DjPzDbNYDbYVV/KhcazgaZ6BINbONFwpOH1uH19BhIhssHVMCkYKsFpOHhZY&#10;GNfzga7HWIkE4VCggjrGrpAy6JoshrnriJP37bzFmKSvpPHYJ7htZZ5lL9Jiw2mhxo42Nenz8WIV&#10;/LxX/Xjbl5tRm1up/TYv26+dUrPpsH4DEWmI/+G/9odRkD/D75f0A+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Ko78MAAADbAAAADwAAAAAAAAAAAAAAAACYAgAAZHJzL2Rv&#10;d25yZXYueG1sUEsFBgAAAAAEAAQA9QAAAIgDAAAAAA==&#10;" adj="14267" fillcolor="#4f81bd [3204]" strokecolor="#243f60 [1604]" strokeweight="2pt">
                  <v:textbox>
                    <w:txbxContent>
                      <w:p w:rsidR="006C5353" w:rsidRDefault="006C5353" w:rsidP="006C5353">
                        <w:pPr>
                          <w:jc w:val="center"/>
                        </w:pPr>
                        <w:r>
                          <w:t>No</w:t>
                        </w:r>
                      </w:p>
                    </w:txbxContent>
                  </v:textbox>
                </v:shape>
                <v:shape id="Down Arrow 6" o:spid="_x0000_s1039" type="#_x0000_t67" style="position:absolute;left:7143;top:30194;width:4953;height:7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EV0cEA&#10;AADaAAAADwAAAGRycy9kb3ducmV2LnhtbESPQWsCMRSE70L/Q3gFb5rVg8rWKNYiiIiobe+PzXOz&#10;uHlZkqjrvzeC4HGYmW+Y6by1tbiSD5VjBYN+BoK4cLriUsHf76o3AREissbaMSm4U4D57KMzxVy7&#10;Gx/oeoylSBAOOSowMTa5lKEwZDH0XUOcvJPzFmOSvpTa4y3BbS2HWTaSFitOCwYbWhoqzseLVbCp&#10;t7u7Du15P9Tj4ts3gx+z/Feq+9kuvkBEauM7/GqvtYIRPK+kGyB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oxFdHBAAAA2gAAAA8AAAAAAAAAAAAAAAAAmAIAAGRycy9kb3du&#10;cmV2LnhtbFBLBQYAAAAABAAEAPUAAACGAwAAAAA=&#10;" adj="14400" fillcolor="#b5d5a7" strokecolor="#70ad47" strokeweight=".5pt">
                  <v:fill color2="#9cca86" rotate="t" colors="0 #b5d5a7;.5 #aace99;1 #9cca86" focus="100%" type="gradient">
                    <o:fill v:ext="view" type="gradientUnscaled"/>
                  </v:fill>
                  <v:textbox>
                    <w:txbxContent>
                      <w:p w:rsidR="006C5353" w:rsidRDefault="006C5353" w:rsidP="006C5353">
                        <w:pPr>
                          <w:jc w:val="center"/>
                        </w:pPr>
                        <w:r>
                          <w:t>Yes</w:t>
                        </w:r>
                      </w:p>
                    </w:txbxContent>
                  </v:textbox>
                </v:shape>
                <v:shape id="Down Arrow 8" o:spid="_x0000_s1040" type="#_x0000_t67" style="position:absolute;left:7048;top:10477;width:4953;height:7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IkOL4A&#10;AADaAAAADwAAAGRycy9kb3ducmV2LnhtbERPy4rCMBTdD/gP4QruxlQXOlSj+GBARGR87S/NtSk2&#10;NyXJaP17sxBcHs57Om9tLe7kQ+VYwaCfgSAunK64VHA+/X7/gAgRWWPtmBQ8KcB81vmaYq7dgw90&#10;P8ZSpBAOOSowMTa5lKEwZDH0XUOcuKvzFmOCvpTa4yOF21oOs2wkLVacGgw2tDJU3I7/VsG23u2f&#10;OrS3v6EeF0vfDNZmdVGq120XExCR2vgRv90brSBtTVfSDZCz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TiJDi+AAAA2gAAAA8AAAAAAAAAAAAAAAAAmAIAAGRycy9kb3ducmV2&#10;LnhtbFBLBQYAAAAABAAEAPUAAACDAwAAAAA=&#10;" adj="14400" fillcolor="#b5d5a7" strokecolor="#70ad47" strokeweight=".5pt">
                  <v:fill color2="#9cca86" rotate="t" colors="0 #b5d5a7;.5 #aace99;1 #9cca86" focus="100%" type="gradient">
                    <o:fill v:ext="view" type="gradientUnscaled"/>
                  </v:fill>
                  <v:textbox>
                    <w:txbxContent>
                      <w:p w:rsidR="006C5353" w:rsidRDefault="006C5353" w:rsidP="006C5353">
                        <w:pPr>
                          <w:jc w:val="center"/>
                        </w:pPr>
                        <w:r>
                          <w:t>Yes</w:t>
                        </w:r>
                      </w:p>
                    </w:txbxContent>
                  </v:textbox>
                </v:shape>
              </v:group>
            </w:pict>
          </mc:Fallback>
        </mc:AlternateContent>
      </w:r>
    </w:p>
    <w:sectPr w:rsidR="006C5353" w:rsidRPr="00FA5D62" w:rsidSect="00705C9D">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09"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652F" w:rsidRDefault="0062652F" w:rsidP="007332FF">
      <w:r>
        <w:separator/>
      </w:r>
    </w:p>
  </w:endnote>
  <w:endnote w:type="continuationSeparator" w:id="0">
    <w:p w:rsidR="0062652F" w:rsidRDefault="0062652F" w:rsidP="00733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593" w:rsidRDefault="006635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7490" w:rsidRPr="00AE306C" w:rsidRDefault="00C05F3D" w:rsidP="002926BC">
    <w:pPr>
      <w:tabs>
        <w:tab w:val="right" w:pos="10206"/>
      </w:tabs>
      <w:spacing w:after="120"/>
      <w:ind w:left="-567" w:right="-568"/>
      <w:rPr>
        <w:sz w:val="16"/>
        <w:szCs w:val="16"/>
      </w:rPr>
    </w:pPr>
    <w:r>
      <w:rPr>
        <w:sz w:val="16"/>
        <w:szCs w:val="16"/>
      </w:rPr>
      <w:pict>
        <v:rect id="_x0000_i1025" style="width:481.9pt;height:.5pt" o:hralign="center" o:hrstd="t" o:hrnoshade="t" o:hr="t" fillcolor="black [3213]" stroked="f"/>
      </w:pict>
    </w:r>
  </w:p>
  <w:p w:rsidR="00A07490" w:rsidRPr="004D1B76" w:rsidRDefault="00A07490" w:rsidP="002926BC">
    <w:pPr>
      <w:pStyle w:val="NTGFooter2deptpagenum"/>
      <w:tabs>
        <w:tab w:val="clear" w:pos="9639"/>
        <w:tab w:val="right" w:pos="10206"/>
      </w:tabs>
      <w:ind w:left="-567" w:right="-568"/>
    </w:pPr>
    <w:r w:rsidRPr="007B5DA2">
      <w:rPr>
        <w:rStyle w:val="NTGFooterDepartmentofChar"/>
      </w:rPr>
      <w:fldChar w:fldCharType="begin"/>
    </w:r>
    <w:r w:rsidRPr="007B5DA2">
      <w:rPr>
        <w:rStyle w:val="NTGFooterDepartmentofChar"/>
      </w:rPr>
      <w:instrText xml:space="preserve"> DOCPROPERTY  DepartmentOf  \* MERGEFORMAT </w:instrText>
    </w:r>
    <w:r w:rsidRPr="007B5DA2">
      <w:rPr>
        <w:rStyle w:val="NTGFooterDepartmentofChar"/>
      </w:rPr>
      <w:fldChar w:fldCharType="separate"/>
    </w:r>
    <w:r w:rsidR="00C05F3D">
      <w:rPr>
        <w:rStyle w:val="NTGFooterDepartmentofChar"/>
      </w:rPr>
      <w:t xml:space="preserve">Department of </w:t>
    </w:r>
    <w:r w:rsidRPr="007B5DA2">
      <w:rPr>
        <w:rStyle w:val="NTGFooterDepartmentofChar"/>
      </w:rPr>
      <w:fldChar w:fldCharType="end"/>
    </w:r>
    <w:r w:rsidRPr="007B5DA2">
      <w:rPr>
        <w:rStyle w:val="NTGFooterDepartmentNameChar"/>
      </w:rPr>
      <w:fldChar w:fldCharType="begin"/>
    </w:r>
    <w:r w:rsidRPr="007B5DA2">
      <w:rPr>
        <w:rStyle w:val="NTGFooterDepartmentNameChar"/>
      </w:rPr>
      <w:instrText xml:space="preserve"> DOCPROPERTY  DepartmentName  \* MERGEFORMAT </w:instrText>
    </w:r>
    <w:r w:rsidRPr="007B5DA2">
      <w:rPr>
        <w:rStyle w:val="NTGFooterDepartmentNameChar"/>
      </w:rPr>
      <w:fldChar w:fldCharType="separate"/>
    </w:r>
    <w:r w:rsidR="00C05F3D">
      <w:rPr>
        <w:rStyle w:val="NTGFooterDepartmentNameChar"/>
      </w:rPr>
      <w:t>Treasury and Finance</w:t>
    </w:r>
    <w:r w:rsidRPr="007B5DA2">
      <w:rPr>
        <w:rStyle w:val="NTGFooterDepartmentNameChar"/>
      </w:rPr>
      <w:fldChar w:fldCharType="end"/>
    </w:r>
    <w:r w:rsidRPr="004D1B76">
      <w:tab/>
    </w:r>
    <w:r w:rsidRPr="007B5DA2">
      <w:rPr>
        <w:rStyle w:val="NTGFooter2deptpagenumChar"/>
        <w:rFonts w:eastAsia="Calibri"/>
      </w:rPr>
      <w:t xml:space="preserve">Page </w:t>
    </w:r>
    <w:r w:rsidRPr="007B5DA2">
      <w:rPr>
        <w:rStyle w:val="NTGFooter2deptpagenumChar"/>
        <w:rFonts w:eastAsia="Calibri"/>
      </w:rPr>
      <w:fldChar w:fldCharType="begin"/>
    </w:r>
    <w:r w:rsidRPr="007B5DA2">
      <w:rPr>
        <w:rStyle w:val="NTGFooter2deptpagenumChar"/>
        <w:rFonts w:eastAsia="Calibri"/>
      </w:rPr>
      <w:instrText xml:space="preserve"> PAGE  \* Arabic  \* MERGEFORMAT </w:instrText>
    </w:r>
    <w:r w:rsidRPr="007B5DA2">
      <w:rPr>
        <w:rStyle w:val="NTGFooter2deptpagenumChar"/>
        <w:rFonts w:eastAsia="Calibri"/>
      </w:rPr>
      <w:fldChar w:fldCharType="separate"/>
    </w:r>
    <w:r w:rsidR="00C05F3D">
      <w:rPr>
        <w:rStyle w:val="NTGFooter2deptpagenumChar"/>
        <w:rFonts w:eastAsia="Calibri"/>
        <w:noProof/>
      </w:rPr>
      <w:t>2</w:t>
    </w:r>
    <w:r w:rsidRPr="007B5DA2">
      <w:rPr>
        <w:rStyle w:val="NTGFooter2deptpagenumChar"/>
        <w:rFonts w:eastAsia="Calibri"/>
      </w:rPr>
      <w:fldChar w:fldCharType="end"/>
    </w:r>
    <w:r w:rsidRPr="007B5DA2">
      <w:rPr>
        <w:rStyle w:val="NTGFooter2deptpagenumChar"/>
        <w:rFonts w:eastAsia="Calibri"/>
      </w:rPr>
      <w:t xml:space="preserve"> of </w:t>
    </w:r>
    <w:r w:rsidRPr="007B5DA2">
      <w:rPr>
        <w:rStyle w:val="NTGFooter2deptpagenumChar"/>
        <w:rFonts w:eastAsia="Calibri"/>
      </w:rPr>
      <w:fldChar w:fldCharType="begin"/>
    </w:r>
    <w:r w:rsidRPr="007B5DA2">
      <w:rPr>
        <w:rStyle w:val="NTGFooter2deptpagenumChar"/>
        <w:rFonts w:eastAsia="Calibri"/>
      </w:rPr>
      <w:instrText xml:space="preserve"> NUMPAGES  \* Arabic  \* MERGEFORMAT </w:instrText>
    </w:r>
    <w:r w:rsidRPr="007B5DA2">
      <w:rPr>
        <w:rStyle w:val="NTGFooter2deptpagenumChar"/>
        <w:rFonts w:eastAsia="Calibri"/>
      </w:rPr>
      <w:fldChar w:fldCharType="separate"/>
    </w:r>
    <w:r w:rsidR="00C05F3D">
      <w:rPr>
        <w:rStyle w:val="NTGFooter2deptpagenumChar"/>
        <w:rFonts w:eastAsia="Calibri"/>
        <w:noProof/>
      </w:rPr>
      <w:t>3</w:t>
    </w:r>
    <w:r w:rsidRPr="007B5DA2">
      <w:rPr>
        <w:rStyle w:val="NTGFooter2deptpagenumChar"/>
        <w:rFonts w:eastAsia="Calibri"/>
      </w:rPr>
      <w:fldChar w:fldCharType="end"/>
    </w:r>
  </w:p>
  <w:p w:rsidR="00A07490" w:rsidRPr="007B5DA2" w:rsidRDefault="00C05F3D" w:rsidP="002926BC">
    <w:pPr>
      <w:pStyle w:val="NTGFooter2DateVersion"/>
      <w:tabs>
        <w:tab w:val="clear" w:pos="9639"/>
        <w:tab w:val="right" w:pos="10206"/>
      </w:tabs>
      <w:ind w:left="-567" w:right="-568"/>
      <w:rPr>
        <w:rStyle w:val="NTGFooter2deptpagenumChar"/>
        <w:rFonts w:eastAsia="Calibri"/>
      </w:rPr>
    </w:pPr>
    <w:r>
      <w:fldChar w:fldCharType="begin"/>
    </w:r>
    <w:r>
      <w:instrText xml:space="preserve"> DOCPROPERTY  DocumentDate  \* MERGEFORMAT </w:instrText>
    </w:r>
    <w:r>
      <w:fldChar w:fldCharType="separate"/>
    </w:r>
    <w:r>
      <w:t>3 August 2017</w:t>
    </w:r>
    <w:r>
      <w:fldChar w:fldCharType="end"/>
    </w:r>
    <w:bookmarkStart w:id="0" w:name="_GoBack"/>
    <w:bookmarkEnd w:id="0"/>
    <w:r w:rsidR="00705F13">
      <w:fldChar w:fldCharType="begin"/>
    </w:r>
    <w:r w:rsidR="00705F13">
      <w:instrText xml:space="preserve"> DOCPROPERTY  VersionNo  \* MERGEFORMAT </w:instrText>
    </w:r>
    <w:r w:rsidR="00705F13">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773" w:type="dxa"/>
      <w:tblInd w:w="-567" w:type="dxa"/>
      <w:tblBorders>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Description w:val="Footer area"/>
    </w:tblPr>
    <w:tblGrid>
      <w:gridCol w:w="8505"/>
      <w:gridCol w:w="2268"/>
    </w:tblGrid>
    <w:tr w:rsidR="00A07490" w:rsidRPr="00132658" w:rsidTr="007D4893">
      <w:trPr>
        <w:cantSplit/>
        <w:trHeight w:hRule="exact" w:val="1400"/>
        <w:tblHeader/>
      </w:trPr>
      <w:tc>
        <w:tcPr>
          <w:tcW w:w="8505" w:type="dxa"/>
          <w:vAlign w:val="center"/>
        </w:tcPr>
        <w:p w:rsidR="00A07490" w:rsidRPr="00705C9D" w:rsidRDefault="00A07490" w:rsidP="007B5DA2">
          <w:pPr>
            <w:pStyle w:val="NTGFooter1items"/>
            <w:rPr>
              <w:rStyle w:val="NTGFooterDepartmentNameChar"/>
            </w:rPr>
          </w:pPr>
          <w:r w:rsidRPr="00705C9D">
            <w:rPr>
              <w:rStyle w:val="NTGFooterDepartmentofChar"/>
            </w:rPr>
            <w:fldChar w:fldCharType="begin"/>
          </w:r>
          <w:r w:rsidRPr="00705C9D">
            <w:rPr>
              <w:rStyle w:val="NTGFooterDepartmentofChar"/>
            </w:rPr>
            <w:instrText xml:space="preserve"> DOCPROPERTY  DepartmentOf  \* MERGEFORMAT </w:instrText>
          </w:r>
          <w:r w:rsidRPr="00705C9D">
            <w:rPr>
              <w:rStyle w:val="NTGFooterDepartmentofChar"/>
            </w:rPr>
            <w:fldChar w:fldCharType="separate"/>
          </w:r>
          <w:r w:rsidR="00663593">
            <w:rPr>
              <w:rStyle w:val="NTGFooterDepartmentofChar"/>
            </w:rPr>
            <w:t xml:space="preserve">Department of </w:t>
          </w:r>
          <w:r w:rsidRPr="00705C9D">
            <w:rPr>
              <w:rStyle w:val="NTGFooterDepartmentofChar"/>
            </w:rPr>
            <w:fldChar w:fldCharType="end"/>
          </w:r>
          <w:r w:rsidRPr="00705C9D">
            <w:rPr>
              <w:rStyle w:val="NTGFooterDepartmentNameChar"/>
            </w:rPr>
            <w:fldChar w:fldCharType="begin"/>
          </w:r>
          <w:r w:rsidRPr="00705C9D">
            <w:rPr>
              <w:rStyle w:val="NTGFooterDepartmentNameChar"/>
            </w:rPr>
            <w:instrText xml:space="preserve"> DOCPROPERTY  DepartmentName  \* MERGEFORMAT </w:instrText>
          </w:r>
          <w:r w:rsidRPr="00705C9D">
            <w:rPr>
              <w:rStyle w:val="NTGFooterDepartmentNameChar"/>
            </w:rPr>
            <w:fldChar w:fldCharType="separate"/>
          </w:r>
          <w:r w:rsidR="00663593">
            <w:rPr>
              <w:rStyle w:val="NTGFooterDepartmentNameChar"/>
            </w:rPr>
            <w:t>Treasury and Finance</w:t>
          </w:r>
          <w:r w:rsidRPr="00705C9D">
            <w:rPr>
              <w:rStyle w:val="NTGFooterDepartmentNameChar"/>
            </w:rPr>
            <w:fldChar w:fldCharType="end"/>
          </w:r>
        </w:p>
        <w:p w:rsidR="00A07490" w:rsidRPr="007B5DA2" w:rsidRDefault="00A07490" w:rsidP="007B5DA2">
          <w:pPr>
            <w:pStyle w:val="NTGFooter1items"/>
          </w:pPr>
          <w:r w:rsidRPr="007B5DA2">
            <w:t xml:space="preserve">Page </w:t>
          </w:r>
          <w:r w:rsidRPr="007B5DA2">
            <w:fldChar w:fldCharType="begin"/>
          </w:r>
          <w:r w:rsidRPr="007B5DA2">
            <w:instrText xml:space="preserve"> PAGE  \* Arabic  \* MERGEFORMAT </w:instrText>
          </w:r>
          <w:r w:rsidRPr="007B5DA2">
            <w:fldChar w:fldCharType="separate"/>
          </w:r>
          <w:r w:rsidR="00C05F3D">
            <w:rPr>
              <w:noProof/>
            </w:rPr>
            <w:t>1</w:t>
          </w:r>
          <w:r w:rsidRPr="007B5DA2">
            <w:fldChar w:fldCharType="end"/>
          </w:r>
          <w:r w:rsidRPr="007B5DA2">
            <w:t xml:space="preserve"> of </w:t>
          </w:r>
          <w:r w:rsidR="00C05F3D">
            <w:fldChar w:fldCharType="begin"/>
          </w:r>
          <w:r w:rsidR="00C05F3D">
            <w:instrText xml:space="preserve"> NUMPAGES  \* Arabic  \* MERGEFORMAT </w:instrText>
          </w:r>
          <w:r w:rsidR="00C05F3D">
            <w:fldChar w:fldCharType="separate"/>
          </w:r>
          <w:r w:rsidR="00C05F3D">
            <w:rPr>
              <w:noProof/>
            </w:rPr>
            <w:t>3</w:t>
          </w:r>
          <w:r w:rsidR="00C05F3D">
            <w:rPr>
              <w:noProof/>
            </w:rPr>
            <w:fldChar w:fldCharType="end"/>
          </w:r>
          <w:r w:rsidRPr="007B5DA2">
            <w:tab/>
          </w:r>
          <w:r w:rsidRPr="007B5DA2">
            <w:rPr>
              <w:rStyle w:val="NTGFooter1itemsChar"/>
            </w:rPr>
            <w:fldChar w:fldCharType="begin"/>
          </w:r>
          <w:r w:rsidRPr="007B5DA2">
            <w:rPr>
              <w:rStyle w:val="NTGFooter1itemsChar"/>
            </w:rPr>
            <w:instrText xml:space="preserve"> DOCPROPERTY  DocumentDate  \* MERGEFORMAT </w:instrText>
          </w:r>
          <w:r w:rsidRPr="007B5DA2">
            <w:rPr>
              <w:rStyle w:val="NTGFooter1itemsChar"/>
            </w:rPr>
            <w:fldChar w:fldCharType="separate"/>
          </w:r>
          <w:r w:rsidR="00663593">
            <w:rPr>
              <w:rStyle w:val="NTGFooter1itemsChar"/>
            </w:rPr>
            <w:t>3 August 2017</w:t>
          </w:r>
          <w:r w:rsidRPr="007B5DA2">
            <w:rPr>
              <w:rStyle w:val="NTGFooter1itemsChar"/>
            </w:rPr>
            <w:fldChar w:fldCharType="end"/>
          </w:r>
          <w:r w:rsidRPr="007B5DA2">
            <w:rPr>
              <w:rStyle w:val="NTGFooter1itemsChar"/>
            </w:rPr>
            <w:fldChar w:fldCharType="begin"/>
          </w:r>
          <w:r w:rsidRPr="007B5DA2">
            <w:rPr>
              <w:rStyle w:val="NTGFooter1itemsChar"/>
            </w:rPr>
            <w:instrText xml:space="preserve"> DOCPROPERTY  VersionNo  \* MERGEFORMAT </w:instrText>
          </w:r>
          <w:r w:rsidRPr="007B5DA2">
            <w:rPr>
              <w:rStyle w:val="NTGFooter1itemsChar"/>
            </w:rPr>
            <w:fldChar w:fldCharType="end"/>
          </w:r>
        </w:p>
      </w:tc>
      <w:tc>
        <w:tcPr>
          <w:tcW w:w="2268" w:type="dxa"/>
          <w:vAlign w:val="center"/>
        </w:tcPr>
        <w:p w:rsidR="00A07490" w:rsidRPr="001E14EB" w:rsidRDefault="00A07490" w:rsidP="00543BD1">
          <w:pPr>
            <w:spacing w:after="0"/>
            <w:jc w:val="right"/>
          </w:pPr>
          <w:r w:rsidRPr="00132658">
            <w:rPr>
              <w:noProof/>
              <w:lang w:eastAsia="en-AU"/>
            </w:rPr>
            <w:drawing>
              <wp:inline distT="0" distB="0" distL="0" distR="0" wp14:anchorId="239AB0B9" wp14:editId="007A7184">
                <wp:extent cx="1347470" cy="481330"/>
                <wp:effectExtent l="0" t="0" r="5080" b="0"/>
                <wp:docPr id="1" name="Picture 1" descr="Northern Territory Gover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7470" cy="481330"/>
                        </a:xfrm>
                        <a:prstGeom prst="rect">
                          <a:avLst/>
                        </a:prstGeom>
                        <a:noFill/>
                      </pic:spPr>
                    </pic:pic>
                  </a:graphicData>
                </a:graphic>
              </wp:inline>
            </w:drawing>
          </w:r>
        </w:p>
      </w:tc>
    </w:tr>
  </w:tbl>
  <w:p w:rsidR="00A07490" w:rsidRPr="00543BD1" w:rsidRDefault="00A07490" w:rsidP="00543BD1">
    <w:pPr>
      <w:pStyle w:val="NoSpacing"/>
      <w:rPr>
        <w:sz w:val="6"/>
        <w:szCs w:val="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652F" w:rsidRDefault="0062652F" w:rsidP="007332FF">
      <w:r>
        <w:separator/>
      </w:r>
    </w:p>
  </w:footnote>
  <w:footnote w:type="continuationSeparator" w:id="0">
    <w:p w:rsidR="0062652F" w:rsidRDefault="0062652F" w:rsidP="007332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593" w:rsidRDefault="0066359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7490" w:rsidRDefault="00C05F3D" w:rsidP="002926BC">
    <w:pPr>
      <w:pStyle w:val="Header"/>
      <w:tabs>
        <w:tab w:val="clear" w:pos="9026"/>
      </w:tabs>
      <w:ind w:right="-568"/>
    </w:pPr>
    <w:r>
      <w:fldChar w:fldCharType="begin"/>
    </w:r>
    <w:r>
      <w:instrText xml:space="preserve"> TITLE   \* MERGEFORMAT </w:instrText>
    </w:r>
    <w:r>
      <w:fldChar w:fldCharType="separate"/>
    </w:r>
    <w:r w:rsidR="006C5353">
      <w:t>AASB 124 Related Party Disclosures</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7490" w:rsidRDefault="00C05F3D" w:rsidP="0050530C">
    <w:pPr>
      <w:pStyle w:val="Title"/>
    </w:pPr>
    <w:sdt>
      <w:sdtPr>
        <w:alias w:val="Title"/>
        <w:tag w:val=""/>
        <w:id w:val="1748683773"/>
        <w:dataBinding w:prefixMappings="xmlns:ns0='http://purl.org/dc/elements/1.1/' xmlns:ns1='http://schemas.openxmlformats.org/package/2006/metadata/core-properties' " w:xpath="/ns1:coreProperties[1]/ns0:title[1]" w:storeItemID="{6C3C8BC8-F283-45AE-878A-BAB7291924A1}"/>
        <w:text/>
      </w:sdtPr>
      <w:sdtEndPr/>
      <w:sdtContent>
        <w:r w:rsidR="006C5353">
          <w:t>AASB 124 Related Party Disclosures</w:t>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F0990"/>
    <w:multiLevelType w:val="multilevel"/>
    <w:tmpl w:val="0C78A7AC"/>
    <w:name w:val="NTG Table Bullet List33222222222222222"/>
    <w:styleLink w:val="NTGTableList"/>
    <w:lvl w:ilvl="0">
      <w:start w:val="1"/>
      <w:numFmt w:val="bullet"/>
      <w:pStyle w:val="NTGTableBulletList1"/>
      <w:lvlText w:val=""/>
      <w:lvlJc w:val="left"/>
      <w:pPr>
        <w:ind w:left="284" w:hanging="284"/>
      </w:pPr>
      <w:rPr>
        <w:rFonts w:ascii="Symbol" w:hAnsi="Symbol" w:hint="default"/>
        <w:color w:val="auto"/>
      </w:rPr>
    </w:lvl>
    <w:lvl w:ilvl="1">
      <w:start w:val="1"/>
      <w:numFmt w:val="bullet"/>
      <w:pStyle w:val="NTGTableBulletList2"/>
      <w:lvlText w:val="o"/>
      <w:lvlJc w:val="left"/>
      <w:pPr>
        <w:ind w:left="567" w:hanging="283"/>
      </w:pPr>
      <w:rPr>
        <w:rFonts w:ascii="Courier New" w:hAnsi="Courier New" w:hint="default"/>
      </w:rPr>
    </w:lvl>
    <w:lvl w:ilvl="2">
      <w:start w:val="1"/>
      <w:numFmt w:val="bullet"/>
      <w:pStyle w:val="NTGTableBulletList3"/>
      <w:lvlText w:val=""/>
      <w:lvlJc w:val="left"/>
      <w:pPr>
        <w:ind w:left="851" w:hanging="284"/>
      </w:pPr>
      <w:rPr>
        <w:rFonts w:ascii="Wingdings" w:hAnsi="Wingdings" w:hint="default"/>
        <w:color w:val="auto"/>
      </w:rPr>
    </w:lvl>
    <w:lvl w:ilvl="3">
      <w:start w:val="1"/>
      <w:numFmt w:val="bullet"/>
      <w:pStyle w:val="NTGTableBulletList4"/>
      <w:lvlText w:val=""/>
      <w:lvlJc w:val="left"/>
      <w:pPr>
        <w:ind w:left="1134" w:hanging="283"/>
      </w:pPr>
      <w:rPr>
        <w:rFonts w:ascii="Wingdings" w:hAnsi="Wingdings" w:hint="default"/>
        <w:color w:val="auto"/>
      </w:rPr>
    </w:lvl>
    <w:lvl w:ilvl="4">
      <w:start w:val="1"/>
      <w:numFmt w:val="bullet"/>
      <w:pStyle w:val="NTGTableBulletList5"/>
      <w:lvlText w:val=""/>
      <w:lvlJc w:val="left"/>
      <w:pPr>
        <w:ind w:left="1418" w:hanging="284"/>
      </w:pPr>
      <w:rPr>
        <w:rFonts w:ascii="Symbol" w:hAnsi="Symbol" w:hint="default"/>
        <w:color w:val="auto"/>
      </w:rPr>
    </w:lvl>
    <w:lvl w:ilvl="5">
      <w:start w:val="1"/>
      <w:numFmt w:val="bullet"/>
      <w:pStyle w:val="NTGTableBulletList6"/>
      <w:lvlText w:val=""/>
      <w:lvlJc w:val="left"/>
      <w:pPr>
        <w:ind w:left="1701" w:hanging="283"/>
      </w:pPr>
      <w:rPr>
        <w:rFonts w:ascii="Symbol" w:hAnsi="Symbol" w:hint="default"/>
        <w:color w:val="auto"/>
      </w:rPr>
    </w:lvl>
    <w:lvl w:ilvl="6">
      <w:start w:val="1"/>
      <w:numFmt w:val="bullet"/>
      <w:pStyle w:val="NTGTableBulletList7"/>
      <w:lvlText w:val="o"/>
      <w:lvlJc w:val="left"/>
      <w:pPr>
        <w:ind w:left="1985" w:hanging="284"/>
      </w:pPr>
      <w:rPr>
        <w:rFonts w:ascii="Courier New" w:hAnsi="Courier New" w:hint="default"/>
        <w:color w:val="auto"/>
      </w:rPr>
    </w:lvl>
    <w:lvl w:ilvl="7">
      <w:start w:val="1"/>
      <w:numFmt w:val="bullet"/>
      <w:pStyle w:val="NTGTableBulletList8"/>
      <w:lvlText w:val=""/>
      <w:lvlJc w:val="left"/>
      <w:pPr>
        <w:ind w:left="2268" w:hanging="283"/>
      </w:pPr>
      <w:rPr>
        <w:rFonts w:ascii="Wingdings" w:hAnsi="Wingdings" w:hint="default"/>
        <w:color w:val="auto"/>
      </w:rPr>
    </w:lvl>
    <w:lvl w:ilvl="8">
      <w:start w:val="1"/>
      <w:numFmt w:val="bullet"/>
      <w:pStyle w:val="NTGTableBulletList9"/>
      <w:lvlText w:val=""/>
      <w:lvlJc w:val="left"/>
      <w:pPr>
        <w:ind w:left="2552" w:hanging="284"/>
      </w:pPr>
      <w:rPr>
        <w:rFonts w:ascii="Wingdings" w:hAnsi="Wingdings" w:hint="default"/>
        <w:color w:val="auto"/>
      </w:rPr>
    </w:lvl>
  </w:abstractNum>
  <w:abstractNum w:abstractNumId="1" w15:restartNumberingAfterBreak="0">
    <w:nsid w:val="05C03AEC"/>
    <w:multiLevelType w:val="multilevel"/>
    <w:tmpl w:val="BD7A8414"/>
    <w:name w:val="NTG Table Bullet List3322222"/>
    <w:numStyleLink w:val="NTGStandardList"/>
  </w:abstractNum>
  <w:abstractNum w:abstractNumId="2" w15:restartNumberingAfterBreak="0">
    <w:nsid w:val="068B22E4"/>
    <w:multiLevelType w:val="multilevel"/>
    <w:tmpl w:val="4E6AC8F6"/>
    <w:name w:val="NTG Table Bullet List33222222"/>
    <w:numStyleLink w:val="NTGStandardNumList"/>
  </w:abstractNum>
  <w:abstractNum w:abstractNumId="3" w15:restartNumberingAfterBreak="0">
    <w:nsid w:val="06DB268B"/>
    <w:multiLevelType w:val="multilevel"/>
    <w:tmpl w:val="BD7A8414"/>
    <w:name w:val="NTG Table Bullet List32223"/>
    <w:numStyleLink w:val="NTGStandardList"/>
  </w:abstractNum>
  <w:abstractNum w:abstractNumId="4" w15:restartNumberingAfterBreak="0">
    <w:nsid w:val="09CD3ABE"/>
    <w:multiLevelType w:val="multilevel"/>
    <w:tmpl w:val="0C78A7AC"/>
    <w:name w:val="NTG Table Bullet List332222"/>
    <w:numStyleLink w:val="NTGTableList"/>
  </w:abstractNum>
  <w:abstractNum w:abstractNumId="5" w15:restartNumberingAfterBreak="0">
    <w:nsid w:val="10111492"/>
    <w:multiLevelType w:val="multilevel"/>
    <w:tmpl w:val="0C78A7AC"/>
    <w:name w:val="NTG Table Bullet List332"/>
    <w:numStyleLink w:val="NTGTableList"/>
  </w:abstractNum>
  <w:abstractNum w:abstractNumId="6" w15:restartNumberingAfterBreak="0">
    <w:nsid w:val="15C55E97"/>
    <w:multiLevelType w:val="multilevel"/>
    <w:tmpl w:val="BD7A8414"/>
    <w:name w:val="NTG Table Bullet List332222222222222222"/>
    <w:numStyleLink w:val="NTGStandardList"/>
  </w:abstractNum>
  <w:abstractNum w:abstractNumId="7" w15:restartNumberingAfterBreak="0">
    <w:nsid w:val="176B0CE3"/>
    <w:multiLevelType w:val="multilevel"/>
    <w:tmpl w:val="39746A98"/>
    <w:name w:val="NTG Table Bullet List332222222222222"/>
    <w:numStyleLink w:val="NTGTableNumList"/>
  </w:abstractNum>
  <w:abstractNum w:abstractNumId="8" w15:restartNumberingAfterBreak="0">
    <w:nsid w:val="18AE0D72"/>
    <w:multiLevelType w:val="multilevel"/>
    <w:tmpl w:val="0C78A7AC"/>
    <w:name w:val="NTG Table Bullet List322"/>
    <w:numStyleLink w:val="NTGTableList"/>
  </w:abstractNum>
  <w:abstractNum w:abstractNumId="9" w15:restartNumberingAfterBreak="0">
    <w:nsid w:val="1BB400DD"/>
    <w:multiLevelType w:val="multilevel"/>
    <w:tmpl w:val="39746A98"/>
    <w:name w:val="NTG Table Bullet List33"/>
    <w:numStyleLink w:val="NTGTableNumList"/>
  </w:abstractNum>
  <w:abstractNum w:abstractNumId="10" w15:restartNumberingAfterBreak="0">
    <w:nsid w:val="1CFF291F"/>
    <w:multiLevelType w:val="multilevel"/>
    <w:tmpl w:val="39746A98"/>
    <w:name w:val="NTG Table Bullet List3222323"/>
    <w:numStyleLink w:val="NTGTableNumList"/>
  </w:abstractNum>
  <w:abstractNum w:abstractNumId="11" w15:restartNumberingAfterBreak="0">
    <w:nsid w:val="241D1D87"/>
    <w:multiLevelType w:val="multilevel"/>
    <w:tmpl w:val="0C78A7AC"/>
    <w:name w:val="NTG Table Bullet List32"/>
    <w:numStyleLink w:val="NTGTableList"/>
  </w:abstractNum>
  <w:abstractNum w:abstractNumId="12" w15:restartNumberingAfterBreak="0">
    <w:nsid w:val="24E93944"/>
    <w:multiLevelType w:val="multilevel"/>
    <w:tmpl w:val="BD7A8414"/>
    <w:styleLink w:val="NTGStandardList"/>
    <w:lvl w:ilvl="0">
      <w:start w:val="1"/>
      <w:numFmt w:val="bullet"/>
      <w:pStyle w:val="ListBullet"/>
      <w:lvlText w:val=""/>
      <w:lvlJc w:val="left"/>
      <w:pPr>
        <w:ind w:left="357" w:hanging="357"/>
      </w:pPr>
      <w:rPr>
        <w:rFonts w:ascii="Symbol" w:hAnsi="Symbol" w:hint="default"/>
      </w:rPr>
    </w:lvl>
    <w:lvl w:ilvl="1">
      <w:start w:val="1"/>
      <w:numFmt w:val="bullet"/>
      <w:pStyle w:val="ListBullet2"/>
      <w:lvlText w:val="o"/>
      <w:lvlJc w:val="left"/>
      <w:pPr>
        <w:ind w:left="714" w:hanging="357"/>
      </w:pPr>
      <w:rPr>
        <w:rFonts w:ascii="Courier New" w:hAnsi="Courier New" w:hint="default"/>
      </w:rPr>
    </w:lvl>
    <w:lvl w:ilvl="2">
      <w:start w:val="1"/>
      <w:numFmt w:val="bullet"/>
      <w:pStyle w:val="ListBullet3"/>
      <w:lvlText w:val=""/>
      <w:lvlJc w:val="left"/>
      <w:pPr>
        <w:ind w:left="1071" w:hanging="357"/>
      </w:pPr>
      <w:rPr>
        <w:rFonts w:ascii="Wingdings" w:hAnsi="Wingdings" w:hint="default"/>
      </w:rPr>
    </w:lvl>
    <w:lvl w:ilvl="3">
      <w:start w:val="1"/>
      <w:numFmt w:val="bullet"/>
      <w:pStyle w:val="ListBullet4"/>
      <w:lvlText w:val=""/>
      <w:lvlJc w:val="left"/>
      <w:pPr>
        <w:ind w:left="1428" w:hanging="357"/>
      </w:pPr>
      <w:rPr>
        <w:rFonts w:ascii="Symbol" w:hAnsi="Symbol" w:hint="default"/>
      </w:rPr>
    </w:lvl>
    <w:lvl w:ilvl="4">
      <w:start w:val="1"/>
      <w:numFmt w:val="bullet"/>
      <w:pStyle w:val="ListBullet5"/>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3" w15:restartNumberingAfterBreak="0">
    <w:nsid w:val="26345893"/>
    <w:multiLevelType w:val="multilevel"/>
    <w:tmpl w:val="4E6AC8F6"/>
    <w:name w:val="NTG Table Bullet List3322222222"/>
    <w:numStyleLink w:val="NTGStandardNumList"/>
  </w:abstractNum>
  <w:abstractNum w:abstractNumId="14" w15:restartNumberingAfterBreak="0">
    <w:nsid w:val="2EF077BC"/>
    <w:multiLevelType w:val="multilevel"/>
    <w:tmpl w:val="0C78A7AC"/>
    <w:name w:val="NTG Table Bullet List33222222222222222222"/>
    <w:numStyleLink w:val="NTGTableList"/>
  </w:abstractNum>
  <w:abstractNum w:abstractNumId="15" w15:restartNumberingAfterBreak="0">
    <w:nsid w:val="300D17D6"/>
    <w:multiLevelType w:val="hybridMultilevel"/>
    <w:tmpl w:val="5AB40E2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33AC0BD5"/>
    <w:multiLevelType w:val="multilevel"/>
    <w:tmpl w:val="39746A98"/>
    <w:name w:val="NTG Table Bullet List322232"/>
    <w:styleLink w:val="NTGTableNumList"/>
    <w:lvl w:ilvl="0">
      <w:start w:val="1"/>
      <w:numFmt w:val="decimal"/>
      <w:pStyle w:val="NTGTableNumList1"/>
      <w:lvlText w:val="%1."/>
      <w:lvlJc w:val="left"/>
      <w:pPr>
        <w:ind w:left="284" w:hanging="284"/>
      </w:pPr>
      <w:rPr>
        <w:rFonts w:hint="default"/>
      </w:rPr>
    </w:lvl>
    <w:lvl w:ilvl="1">
      <w:start w:val="1"/>
      <w:numFmt w:val="lowerLetter"/>
      <w:pStyle w:val="NTGTableNumList2"/>
      <w:lvlText w:val="%2."/>
      <w:lvlJc w:val="left"/>
      <w:pPr>
        <w:ind w:left="567" w:hanging="283"/>
      </w:pPr>
      <w:rPr>
        <w:rFonts w:hint="default"/>
      </w:rPr>
    </w:lvl>
    <w:lvl w:ilvl="2">
      <w:start w:val="1"/>
      <w:numFmt w:val="lowerRoman"/>
      <w:pStyle w:val="NTGTableNumList3"/>
      <w:lvlText w:val="%3."/>
      <w:lvlJc w:val="left"/>
      <w:pPr>
        <w:ind w:left="851" w:hanging="284"/>
      </w:pPr>
      <w:rPr>
        <w:rFonts w:hint="default"/>
      </w:rPr>
    </w:lvl>
    <w:lvl w:ilvl="3">
      <w:start w:val="1"/>
      <w:numFmt w:val="decimal"/>
      <w:pStyle w:val="NTGTableNumList4"/>
      <w:lvlText w:val="(%4)"/>
      <w:lvlJc w:val="left"/>
      <w:pPr>
        <w:ind w:left="1134" w:hanging="283"/>
      </w:pPr>
      <w:rPr>
        <w:rFonts w:hint="default"/>
      </w:rPr>
    </w:lvl>
    <w:lvl w:ilvl="4">
      <w:start w:val="1"/>
      <w:numFmt w:val="lowerLetter"/>
      <w:pStyle w:val="NTGTableNumList5"/>
      <w:lvlText w:val="(%5)"/>
      <w:lvlJc w:val="left"/>
      <w:pPr>
        <w:ind w:left="1418" w:hanging="284"/>
      </w:pPr>
      <w:rPr>
        <w:rFonts w:hint="default"/>
      </w:rPr>
    </w:lvl>
    <w:lvl w:ilvl="5">
      <w:start w:val="1"/>
      <w:numFmt w:val="lowerRoman"/>
      <w:pStyle w:val="NTGTableNumList6"/>
      <w:lvlText w:val="(%6)"/>
      <w:lvlJc w:val="left"/>
      <w:pPr>
        <w:ind w:left="1701" w:hanging="283"/>
      </w:pPr>
      <w:rPr>
        <w:rFonts w:hint="default"/>
      </w:rPr>
    </w:lvl>
    <w:lvl w:ilvl="6">
      <w:start w:val="1"/>
      <w:numFmt w:val="decimal"/>
      <w:pStyle w:val="NTGTableNumList7"/>
      <w:lvlText w:val="%7."/>
      <w:lvlJc w:val="left"/>
      <w:pPr>
        <w:ind w:left="1985" w:hanging="284"/>
      </w:pPr>
      <w:rPr>
        <w:rFonts w:hint="default"/>
      </w:rPr>
    </w:lvl>
    <w:lvl w:ilvl="7">
      <w:start w:val="1"/>
      <w:numFmt w:val="lowerLetter"/>
      <w:pStyle w:val="NTGTableNumList8"/>
      <w:lvlText w:val="%8."/>
      <w:lvlJc w:val="left"/>
      <w:pPr>
        <w:ind w:left="2268" w:hanging="283"/>
      </w:pPr>
      <w:rPr>
        <w:rFonts w:hint="default"/>
      </w:rPr>
    </w:lvl>
    <w:lvl w:ilvl="8">
      <w:start w:val="1"/>
      <w:numFmt w:val="lowerRoman"/>
      <w:pStyle w:val="NTGTableNumList9"/>
      <w:lvlText w:val="%9."/>
      <w:lvlJc w:val="left"/>
      <w:pPr>
        <w:ind w:left="2552" w:hanging="284"/>
      </w:pPr>
      <w:rPr>
        <w:rFonts w:hint="default"/>
      </w:rPr>
    </w:lvl>
  </w:abstractNum>
  <w:abstractNum w:abstractNumId="17" w15:restartNumberingAfterBreak="0">
    <w:nsid w:val="418B29E3"/>
    <w:multiLevelType w:val="multilevel"/>
    <w:tmpl w:val="0C78A7AC"/>
    <w:name w:val="NTG Table Bullet List33222222222222"/>
    <w:numStyleLink w:val="NTGTableList"/>
  </w:abstractNum>
  <w:abstractNum w:abstractNumId="18" w15:restartNumberingAfterBreak="0">
    <w:nsid w:val="426F70CC"/>
    <w:multiLevelType w:val="multilevel"/>
    <w:tmpl w:val="39746A98"/>
    <w:name w:val="NTG Table Bullet List33222222222222222"/>
    <w:numStyleLink w:val="NTGTableNumList"/>
  </w:abstractNum>
  <w:abstractNum w:abstractNumId="19" w15:restartNumberingAfterBreak="0">
    <w:nsid w:val="442340D4"/>
    <w:multiLevelType w:val="hybridMultilevel"/>
    <w:tmpl w:val="B0BE08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B8F005A"/>
    <w:multiLevelType w:val="multilevel"/>
    <w:tmpl w:val="4E6AC8F6"/>
    <w:numStyleLink w:val="NTGStandardNumList"/>
  </w:abstractNum>
  <w:abstractNum w:abstractNumId="21" w15:restartNumberingAfterBreak="0">
    <w:nsid w:val="4B9C702E"/>
    <w:multiLevelType w:val="multilevel"/>
    <w:tmpl w:val="BD7A8414"/>
    <w:name w:val="NTG Table Bullet List3222"/>
    <w:numStyleLink w:val="NTGStandardList"/>
  </w:abstractNum>
  <w:abstractNum w:abstractNumId="22" w15:restartNumberingAfterBreak="0">
    <w:nsid w:val="4D435BB4"/>
    <w:multiLevelType w:val="multilevel"/>
    <w:tmpl w:val="39746A98"/>
    <w:name w:val="NTG Table Bullet List3322"/>
    <w:numStyleLink w:val="NTGTableNumList"/>
  </w:abstractNum>
  <w:abstractNum w:abstractNumId="23" w15:restartNumberingAfterBreak="0">
    <w:nsid w:val="4D5634AF"/>
    <w:multiLevelType w:val="multilevel"/>
    <w:tmpl w:val="2BBEA3BA"/>
    <w:name w:val="NTG Table Bullet List"/>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24" w15:restartNumberingAfterBreak="0">
    <w:nsid w:val="4D90555D"/>
    <w:multiLevelType w:val="multilevel"/>
    <w:tmpl w:val="4E6AC8F6"/>
    <w:styleLink w:val="NTGStandardNumList"/>
    <w:lvl w:ilvl="0">
      <w:start w:val="1"/>
      <w:numFmt w:val="decimal"/>
      <w:pStyle w:val="ListNumber"/>
      <w:lvlText w:val="%1."/>
      <w:lvlJc w:val="left"/>
      <w:pPr>
        <w:ind w:left="357" w:hanging="357"/>
      </w:pPr>
      <w:rPr>
        <w:rFonts w:hint="default"/>
      </w:rPr>
    </w:lvl>
    <w:lvl w:ilvl="1">
      <w:start w:val="1"/>
      <w:numFmt w:val="lowerLetter"/>
      <w:pStyle w:val="ListNumber2"/>
      <w:lvlText w:val="%2."/>
      <w:lvlJc w:val="left"/>
      <w:pPr>
        <w:ind w:left="714" w:hanging="357"/>
      </w:pPr>
      <w:rPr>
        <w:rFonts w:hint="default"/>
      </w:rPr>
    </w:lvl>
    <w:lvl w:ilvl="2">
      <w:start w:val="1"/>
      <w:numFmt w:val="lowerRoman"/>
      <w:pStyle w:val="ListNumber3"/>
      <w:lvlText w:val="%3."/>
      <w:lvlJc w:val="left"/>
      <w:pPr>
        <w:tabs>
          <w:tab w:val="num" w:pos="714"/>
        </w:tabs>
        <w:ind w:left="1071" w:hanging="357"/>
      </w:pPr>
      <w:rPr>
        <w:rFonts w:hint="default"/>
      </w:rPr>
    </w:lvl>
    <w:lvl w:ilvl="3">
      <w:start w:val="1"/>
      <w:numFmt w:val="decimal"/>
      <w:pStyle w:val="ListNumber4"/>
      <w:lvlText w:val="(%4)"/>
      <w:lvlJc w:val="left"/>
      <w:pPr>
        <w:tabs>
          <w:tab w:val="num" w:pos="1072"/>
        </w:tabs>
        <w:ind w:left="1428" w:hanging="357"/>
      </w:pPr>
      <w:rPr>
        <w:rFonts w:hint="default"/>
      </w:rPr>
    </w:lvl>
    <w:lvl w:ilvl="4">
      <w:start w:val="1"/>
      <w:numFmt w:val="lowerLetter"/>
      <w:pStyle w:val="ListNumber5"/>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25" w15:restartNumberingAfterBreak="0">
    <w:nsid w:val="4E002A10"/>
    <w:multiLevelType w:val="multilevel"/>
    <w:tmpl w:val="39746A98"/>
    <w:name w:val="NTG Table Bullet List332222222"/>
    <w:numStyleLink w:val="NTGTableNumList"/>
  </w:abstractNum>
  <w:abstractNum w:abstractNumId="26" w15:restartNumberingAfterBreak="0">
    <w:nsid w:val="4E597CFE"/>
    <w:multiLevelType w:val="multilevel"/>
    <w:tmpl w:val="39746A98"/>
    <w:name w:val="NTG Table Bullet List33222222222"/>
    <w:numStyleLink w:val="NTGTableNumList"/>
  </w:abstractNum>
  <w:abstractNum w:abstractNumId="27" w15:restartNumberingAfterBreak="0">
    <w:nsid w:val="54D23F9E"/>
    <w:multiLevelType w:val="multilevel"/>
    <w:tmpl w:val="2BBEA3BA"/>
    <w:name w:val="NTG Table Bullet List3222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28" w15:restartNumberingAfterBreak="0">
    <w:nsid w:val="573B315C"/>
    <w:multiLevelType w:val="multilevel"/>
    <w:tmpl w:val="39746A98"/>
    <w:name w:val="NTG Table Bullet List3222322"/>
    <w:numStyleLink w:val="NTGTableNumList"/>
  </w:abstractNum>
  <w:abstractNum w:abstractNumId="29" w15:restartNumberingAfterBreak="0">
    <w:nsid w:val="5B713B90"/>
    <w:multiLevelType w:val="multilevel"/>
    <w:tmpl w:val="4E6AC8F6"/>
    <w:numStyleLink w:val="NTGStandardNumList"/>
  </w:abstractNum>
  <w:abstractNum w:abstractNumId="30" w15:restartNumberingAfterBreak="0">
    <w:nsid w:val="5BCE2A25"/>
    <w:multiLevelType w:val="multilevel"/>
    <w:tmpl w:val="0C78A7AC"/>
    <w:name w:val="NTG Table Bullet List332222222222"/>
    <w:numStyleLink w:val="NTGTableList"/>
  </w:abstractNum>
  <w:abstractNum w:abstractNumId="31" w15:restartNumberingAfterBreak="0">
    <w:nsid w:val="5D042DCE"/>
    <w:multiLevelType w:val="multilevel"/>
    <w:tmpl w:val="4E6AC8F6"/>
    <w:numStyleLink w:val="NTGStandardNumList"/>
  </w:abstractNum>
  <w:abstractNum w:abstractNumId="32" w15:restartNumberingAfterBreak="0">
    <w:nsid w:val="606D0AB2"/>
    <w:multiLevelType w:val="multilevel"/>
    <w:tmpl w:val="4E6AC8F6"/>
    <w:numStyleLink w:val="NTGStandardNumList"/>
  </w:abstractNum>
  <w:abstractNum w:abstractNumId="33" w15:restartNumberingAfterBreak="0">
    <w:nsid w:val="61AD07BD"/>
    <w:multiLevelType w:val="multilevel"/>
    <w:tmpl w:val="4E6AC8F6"/>
    <w:numStyleLink w:val="NTGStandardNumList"/>
  </w:abstractNum>
  <w:abstractNum w:abstractNumId="34" w15:restartNumberingAfterBreak="0">
    <w:nsid w:val="65D566F7"/>
    <w:multiLevelType w:val="multilevel"/>
    <w:tmpl w:val="39746A98"/>
    <w:name w:val="NTG Table Bullet List3322222222222222"/>
    <w:numStyleLink w:val="NTGTableNumList"/>
  </w:abstractNum>
  <w:abstractNum w:abstractNumId="35" w15:restartNumberingAfterBreak="0">
    <w:nsid w:val="6CC62A3C"/>
    <w:multiLevelType w:val="multilevel"/>
    <w:tmpl w:val="39746A98"/>
    <w:name w:val="NTG Table Bullet List33222"/>
    <w:numStyleLink w:val="NTGTableNumList"/>
  </w:abstractNum>
  <w:abstractNum w:abstractNumId="36" w15:restartNumberingAfterBreak="0">
    <w:nsid w:val="70105C45"/>
    <w:multiLevelType w:val="multilevel"/>
    <w:tmpl w:val="39746A98"/>
    <w:name w:val="NTG Table Bullet List3322222222222"/>
    <w:numStyleLink w:val="NTGTableNumList"/>
  </w:abstractNum>
  <w:abstractNum w:abstractNumId="37" w15:restartNumberingAfterBreak="0">
    <w:nsid w:val="7453664D"/>
    <w:multiLevelType w:val="multilevel"/>
    <w:tmpl w:val="0C78A7AC"/>
    <w:name w:val="NTG Table Bullet List3322222222222222222"/>
    <w:numStyleLink w:val="NTGTableList"/>
  </w:abstractNum>
  <w:abstractNum w:abstractNumId="38" w15:restartNumberingAfterBreak="0">
    <w:nsid w:val="79CC6470"/>
    <w:multiLevelType w:val="multilevel"/>
    <w:tmpl w:val="0D62A852"/>
    <w:lvl w:ilvl="0">
      <w:start w:val="1"/>
      <w:numFmt w:val="decimal"/>
      <w:pStyle w:val="Heading1"/>
      <w:lvlText w:val="%1"/>
      <w:lvlJc w:val="left"/>
      <w:pPr>
        <w:ind w:left="432" w:hanging="432"/>
      </w:pPr>
      <w:rPr>
        <w:rFonts w:hint="default"/>
        <w:b/>
        <w:i w: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9" w15:restartNumberingAfterBreak="0">
    <w:nsid w:val="7EB377EB"/>
    <w:multiLevelType w:val="multilevel"/>
    <w:tmpl w:val="2BBEA3BA"/>
    <w:name w:val="NTG Table Bullet List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num w:numId="1">
    <w:abstractNumId w:val="12"/>
  </w:num>
  <w:num w:numId="2">
    <w:abstractNumId w:val="24"/>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32"/>
  </w:num>
  <w:num w:numId="8">
    <w:abstractNumId w:val="38"/>
  </w:num>
  <w:num w:numId="9">
    <w:abstractNumId w:val="0"/>
  </w:num>
  <w:num w:numId="10">
    <w:abstractNumId w:val="16"/>
  </w:num>
  <w:num w:numId="11">
    <w:abstractNumId w:val="13"/>
  </w:num>
  <w:num w:numId="12">
    <w:abstractNumId w:val="18"/>
  </w:num>
  <w:num w:numId="13">
    <w:abstractNumId w:val="6"/>
  </w:num>
  <w:num w:numId="14">
    <w:abstractNumId w:val="14"/>
  </w:num>
  <w:num w:numId="15">
    <w:abstractNumId w:val="19"/>
  </w:num>
  <w:num w:numId="16">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oofState w:spelling="clean" w:grammar="clean"/>
  <w:attachedTemplate r:id="rId1"/>
  <w:stylePaneFormatFilter w:val="DF04" w:allStyles="0" w:customStyles="0" w:latentStyles="1" w:stylesInUse="0" w:headingStyles="0" w:numberingStyles="0" w:tableStyles="0" w:directFormattingOnRuns="1" w:directFormattingOnParagraphs="1" w:directFormattingOnNumbering="1" w:directFormattingOnTables="1" w:clearFormatting="1" w:top3HeadingStyles="0" w:visibleStyles="1" w:alternateStyleNames="1"/>
  <w:defaultTabStop w:val="284"/>
  <w:drawingGridHorizontalSpacing w:val="110"/>
  <w:displayHorizontalDrawingGridEvery w:val="2"/>
  <w:displayVerticalDrawingGridEvery w:val="2"/>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B09"/>
    <w:rsid w:val="00001DDF"/>
    <w:rsid w:val="0000322D"/>
    <w:rsid w:val="00010665"/>
    <w:rsid w:val="00027DB8"/>
    <w:rsid w:val="00031A96"/>
    <w:rsid w:val="00040BF3"/>
    <w:rsid w:val="00046C59"/>
    <w:rsid w:val="00051362"/>
    <w:rsid w:val="00051F45"/>
    <w:rsid w:val="00056DEF"/>
    <w:rsid w:val="000720BE"/>
    <w:rsid w:val="0007259C"/>
    <w:rsid w:val="00080202"/>
    <w:rsid w:val="00080DCD"/>
    <w:rsid w:val="00080E22"/>
    <w:rsid w:val="000840A3"/>
    <w:rsid w:val="00086A5F"/>
    <w:rsid w:val="000911EF"/>
    <w:rsid w:val="000962C5"/>
    <w:rsid w:val="000A559C"/>
    <w:rsid w:val="000B2CA1"/>
    <w:rsid w:val="000D1F29"/>
    <w:rsid w:val="000F2958"/>
    <w:rsid w:val="00104E7F"/>
    <w:rsid w:val="001137EC"/>
    <w:rsid w:val="001152F5"/>
    <w:rsid w:val="00117743"/>
    <w:rsid w:val="00117F5B"/>
    <w:rsid w:val="00132658"/>
    <w:rsid w:val="00150DC0"/>
    <w:rsid w:val="00156CD4"/>
    <w:rsid w:val="00164A3E"/>
    <w:rsid w:val="00181620"/>
    <w:rsid w:val="001957AD"/>
    <w:rsid w:val="001A2B7F"/>
    <w:rsid w:val="001A3AFD"/>
    <w:rsid w:val="001A496C"/>
    <w:rsid w:val="001B2B6C"/>
    <w:rsid w:val="001D01C4"/>
    <w:rsid w:val="001D52B0"/>
    <w:rsid w:val="001D7CA4"/>
    <w:rsid w:val="001E057F"/>
    <w:rsid w:val="001E14EB"/>
    <w:rsid w:val="001F59E6"/>
    <w:rsid w:val="00206936"/>
    <w:rsid w:val="00206C6F"/>
    <w:rsid w:val="00206FBD"/>
    <w:rsid w:val="00207746"/>
    <w:rsid w:val="00230031"/>
    <w:rsid w:val="00247343"/>
    <w:rsid w:val="00265C56"/>
    <w:rsid w:val="002716CD"/>
    <w:rsid w:val="00274D4B"/>
    <w:rsid w:val="002806F5"/>
    <w:rsid w:val="00281577"/>
    <w:rsid w:val="002926BC"/>
    <w:rsid w:val="00293A72"/>
    <w:rsid w:val="002A30C3"/>
    <w:rsid w:val="002A7712"/>
    <w:rsid w:val="002B38F7"/>
    <w:rsid w:val="002B5591"/>
    <w:rsid w:val="002C1FE9"/>
    <w:rsid w:val="002D3A57"/>
    <w:rsid w:val="002D7D05"/>
    <w:rsid w:val="002E20C8"/>
    <w:rsid w:val="002E4290"/>
    <w:rsid w:val="002E66A6"/>
    <w:rsid w:val="002F0DB1"/>
    <w:rsid w:val="002F2885"/>
    <w:rsid w:val="003037F9"/>
    <w:rsid w:val="0030583E"/>
    <w:rsid w:val="00307FE1"/>
    <w:rsid w:val="003258E6"/>
    <w:rsid w:val="00342283"/>
    <w:rsid w:val="00343A87"/>
    <w:rsid w:val="00347FB6"/>
    <w:rsid w:val="003504FD"/>
    <w:rsid w:val="00350881"/>
    <w:rsid w:val="00357D55"/>
    <w:rsid w:val="00363513"/>
    <w:rsid w:val="003657E5"/>
    <w:rsid w:val="0036589C"/>
    <w:rsid w:val="00371312"/>
    <w:rsid w:val="00371DC7"/>
    <w:rsid w:val="00377B21"/>
    <w:rsid w:val="00394876"/>
    <w:rsid w:val="00394AAF"/>
    <w:rsid w:val="00394CE5"/>
    <w:rsid w:val="003B67FD"/>
    <w:rsid w:val="003B6A61"/>
    <w:rsid w:val="003D42C0"/>
    <w:rsid w:val="003D5B29"/>
    <w:rsid w:val="003D7818"/>
    <w:rsid w:val="003E2445"/>
    <w:rsid w:val="003E3BB2"/>
    <w:rsid w:val="003F5B58"/>
    <w:rsid w:val="0040222A"/>
    <w:rsid w:val="004047BC"/>
    <w:rsid w:val="004100F7"/>
    <w:rsid w:val="00414CB3"/>
    <w:rsid w:val="0041563D"/>
    <w:rsid w:val="00426E25"/>
    <w:rsid w:val="00427D9C"/>
    <w:rsid w:val="00443B6E"/>
    <w:rsid w:val="0045420A"/>
    <w:rsid w:val="004554D4"/>
    <w:rsid w:val="00461744"/>
    <w:rsid w:val="00466D96"/>
    <w:rsid w:val="00467747"/>
    <w:rsid w:val="00473C98"/>
    <w:rsid w:val="00482DF8"/>
    <w:rsid w:val="004864DE"/>
    <w:rsid w:val="00494BE5"/>
    <w:rsid w:val="004A2538"/>
    <w:rsid w:val="004B0C15"/>
    <w:rsid w:val="004B35EA"/>
    <w:rsid w:val="004B69E4"/>
    <w:rsid w:val="004C6C39"/>
    <w:rsid w:val="004D075F"/>
    <w:rsid w:val="004D1B76"/>
    <w:rsid w:val="004D344E"/>
    <w:rsid w:val="004E019E"/>
    <w:rsid w:val="004E06EC"/>
    <w:rsid w:val="004E2CB7"/>
    <w:rsid w:val="004F016A"/>
    <w:rsid w:val="00500F94"/>
    <w:rsid w:val="00502FB3"/>
    <w:rsid w:val="00503DE9"/>
    <w:rsid w:val="0050530C"/>
    <w:rsid w:val="00505DEA"/>
    <w:rsid w:val="00507782"/>
    <w:rsid w:val="00512A04"/>
    <w:rsid w:val="005249F5"/>
    <w:rsid w:val="005260F7"/>
    <w:rsid w:val="00543BD1"/>
    <w:rsid w:val="00556113"/>
    <w:rsid w:val="00564C12"/>
    <w:rsid w:val="005654B8"/>
    <w:rsid w:val="005762CC"/>
    <w:rsid w:val="00582D3D"/>
    <w:rsid w:val="00595386"/>
    <w:rsid w:val="005A4AC0"/>
    <w:rsid w:val="005A5FDF"/>
    <w:rsid w:val="005B0FB7"/>
    <w:rsid w:val="005B122A"/>
    <w:rsid w:val="005B5AC2"/>
    <w:rsid w:val="005C2833"/>
    <w:rsid w:val="005E144D"/>
    <w:rsid w:val="005E1500"/>
    <w:rsid w:val="005E3A43"/>
    <w:rsid w:val="00620675"/>
    <w:rsid w:val="0062652F"/>
    <w:rsid w:val="006433C3"/>
    <w:rsid w:val="00650F5B"/>
    <w:rsid w:val="00663593"/>
    <w:rsid w:val="006670D7"/>
    <w:rsid w:val="006719EA"/>
    <w:rsid w:val="00671F13"/>
    <w:rsid w:val="0067400A"/>
    <w:rsid w:val="006847AD"/>
    <w:rsid w:val="0069114B"/>
    <w:rsid w:val="006C5353"/>
    <w:rsid w:val="006D66F7"/>
    <w:rsid w:val="006E1B09"/>
    <w:rsid w:val="00705C9D"/>
    <w:rsid w:val="00705F13"/>
    <w:rsid w:val="00714F1D"/>
    <w:rsid w:val="00722DDB"/>
    <w:rsid w:val="00724728"/>
    <w:rsid w:val="00724F98"/>
    <w:rsid w:val="00730B9B"/>
    <w:rsid w:val="007332FF"/>
    <w:rsid w:val="007408F5"/>
    <w:rsid w:val="00741EAE"/>
    <w:rsid w:val="0076190B"/>
    <w:rsid w:val="0076355D"/>
    <w:rsid w:val="00763A2D"/>
    <w:rsid w:val="00777795"/>
    <w:rsid w:val="00783A57"/>
    <w:rsid w:val="00784C92"/>
    <w:rsid w:val="007859CD"/>
    <w:rsid w:val="007907E4"/>
    <w:rsid w:val="00796461"/>
    <w:rsid w:val="007A6A4F"/>
    <w:rsid w:val="007B03F5"/>
    <w:rsid w:val="007B5C09"/>
    <w:rsid w:val="007B5DA2"/>
    <w:rsid w:val="007C0966"/>
    <w:rsid w:val="007C19E7"/>
    <w:rsid w:val="007C5CFD"/>
    <w:rsid w:val="007C6D9F"/>
    <w:rsid w:val="007D4893"/>
    <w:rsid w:val="007E1987"/>
    <w:rsid w:val="007E70CF"/>
    <w:rsid w:val="007E74A4"/>
    <w:rsid w:val="007F263F"/>
    <w:rsid w:val="0080766E"/>
    <w:rsid w:val="00811169"/>
    <w:rsid w:val="00815297"/>
    <w:rsid w:val="00817BA1"/>
    <w:rsid w:val="00823022"/>
    <w:rsid w:val="0082634E"/>
    <w:rsid w:val="008313C4"/>
    <w:rsid w:val="00835434"/>
    <w:rsid w:val="008358C0"/>
    <w:rsid w:val="00842838"/>
    <w:rsid w:val="00854EC1"/>
    <w:rsid w:val="0085797F"/>
    <w:rsid w:val="00861DC3"/>
    <w:rsid w:val="00867019"/>
    <w:rsid w:val="008735A9"/>
    <w:rsid w:val="00877D20"/>
    <w:rsid w:val="00881C48"/>
    <w:rsid w:val="00885B80"/>
    <w:rsid w:val="00885C30"/>
    <w:rsid w:val="00885E9B"/>
    <w:rsid w:val="00893C96"/>
    <w:rsid w:val="008A7C12"/>
    <w:rsid w:val="008B529E"/>
    <w:rsid w:val="008C17FB"/>
    <w:rsid w:val="008D57B8"/>
    <w:rsid w:val="008E03FC"/>
    <w:rsid w:val="008E510B"/>
    <w:rsid w:val="00902B13"/>
    <w:rsid w:val="00911941"/>
    <w:rsid w:val="00925F0F"/>
    <w:rsid w:val="00932F6B"/>
    <w:rsid w:val="009468BC"/>
    <w:rsid w:val="009616DF"/>
    <w:rsid w:val="0096542F"/>
    <w:rsid w:val="00967FA7"/>
    <w:rsid w:val="00971645"/>
    <w:rsid w:val="00977919"/>
    <w:rsid w:val="009870FA"/>
    <w:rsid w:val="0099551D"/>
    <w:rsid w:val="009A5897"/>
    <w:rsid w:val="009A5F24"/>
    <w:rsid w:val="009B0B3E"/>
    <w:rsid w:val="009B1913"/>
    <w:rsid w:val="009B6657"/>
    <w:rsid w:val="009D0EB5"/>
    <w:rsid w:val="009D14F9"/>
    <w:rsid w:val="009D2B74"/>
    <w:rsid w:val="009E175D"/>
    <w:rsid w:val="009E3CC2"/>
    <w:rsid w:val="009F06BD"/>
    <w:rsid w:val="009F2A4D"/>
    <w:rsid w:val="00A00828"/>
    <w:rsid w:val="00A03290"/>
    <w:rsid w:val="00A07490"/>
    <w:rsid w:val="00A10655"/>
    <w:rsid w:val="00A22C38"/>
    <w:rsid w:val="00A25193"/>
    <w:rsid w:val="00A31AE8"/>
    <w:rsid w:val="00A3739D"/>
    <w:rsid w:val="00A37DDA"/>
    <w:rsid w:val="00A925EC"/>
    <w:rsid w:val="00A929AA"/>
    <w:rsid w:val="00A92B6B"/>
    <w:rsid w:val="00AA541E"/>
    <w:rsid w:val="00AD0DA4"/>
    <w:rsid w:val="00AD4169"/>
    <w:rsid w:val="00AE25C6"/>
    <w:rsid w:val="00AE306C"/>
    <w:rsid w:val="00B02EF1"/>
    <w:rsid w:val="00B07C97"/>
    <w:rsid w:val="00B15754"/>
    <w:rsid w:val="00B2046E"/>
    <w:rsid w:val="00B20E8B"/>
    <w:rsid w:val="00B257E1"/>
    <w:rsid w:val="00B343CC"/>
    <w:rsid w:val="00B5084A"/>
    <w:rsid w:val="00B614F7"/>
    <w:rsid w:val="00B61B26"/>
    <w:rsid w:val="00B675B2"/>
    <w:rsid w:val="00B81261"/>
    <w:rsid w:val="00B8223E"/>
    <w:rsid w:val="00B832AE"/>
    <w:rsid w:val="00B86678"/>
    <w:rsid w:val="00B92F9B"/>
    <w:rsid w:val="00B941B3"/>
    <w:rsid w:val="00B96513"/>
    <w:rsid w:val="00BA1D47"/>
    <w:rsid w:val="00BA66F0"/>
    <w:rsid w:val="00BB2239"/>
    <w:rsid w:val="00BB2AE7"/>
    <w:rsid w:val="00BB6464"/>
    <w:rsid w:val="00BC1BB8"/>
    <w:rsid w:val="00BD7FE1"/>
    <w:rsid w:val="00BE37CA"/>
    <w:rsid w:val="00BE6144"/>
    <w:rsid w:val="00BE635A"/>
    <w:rsid w:val="00BF2ABB"/>
    <w:rsid w:val="00BF5099"/>
    <w:rsid w:val="00C05F3D"/>
    <w:rsid w:val="00C10F10"/>
    <w:rsid w:val="00C15D4D"/>
    <w:rsid w:val="00C175DC"/>
    <w:rsid w:val="00C30171"/>
    <w:rsid w:val="00C309D8"/>
    <w:rsid w:val="00C61AFA"/>
    <w:rsid w:val="00C62099"/>
    <w:rsid w:val="00C64EA3"/>
    <w:rsid w:val="00C72867"/>
    <w:rsid w:val="00C75E81"/>
    <w:rsid w:val="00C86609"/>
    <w:rsid w:val="00C92B4C"/>
    <w:rsid w:val="00C954F6"/>
    <w:rsid w:val="00CA6BC5"/>
    <w:rsid w:val="00CC61CD"/>
    <w:rsid w:val="00CD5011"/>
    <w:rsid w:val="00CE640F"/>
    <w:rsid w:val="00CF540E"/>
    <w:rsid w:val="00D02F07"/>
    <w:rsid w:val="00D36A49"/>
    <w:rsid w:val="00D517C6"/>
    <w:rsid w:val="00D71D84"/>
    <w:rsid w:val="00D72464"/>
    <w:rsid w:val="00D768EB"/>
    <w:rsid w:val="00D82D1E"/>
    <w:rsid w:val="00D832D9"/>
    <w:rsid w:val="00D90F00"/>
    <w:rsid w:val="00D975C0"/>
    <w:rsid w:val="00DA5285"/>
    <w:rsid w:val="00DB191D"/>
    <w:rsid w:val="00DB4F91"/>
    <w:rsid w:val="00DC3117"/>
    <w:rsid w:val="00DC5DD9"/>
    <w:rsid w:val="00DC6D2D"/>
    <w:rsid w:val="00DE33B5"/>
    <w:rsid w:val="00DE5E18"/>
    <w:rsid w:val="00DF0487"/>
    <w:rsid w:val="00DF5EA4"/>
    <w:rsid w:val="00E02681"/>
    <w:rsid w:val="00E02792"/>
    <w:rsid w:val="00E034D8"/>
    <w:rsid w:val="00E04CC0"/>
    <w:rsid w:val="00E15816"/>
    <w:rsid w:val="00E160D5"/>
    <w:rsid w:val="00E30556"/>
    <w:rsid w:val="00E30981"/>
    <w:rsid w:val="00E33136"/>
    <w:rsid w:val="00E34D7C"/>
    <w:rsid w:val="00E3723D"/>
    <w:rsid w:val="00E44C89"/>
    <w:rsid w:val="00E61BA2"/>
    <w:rsid w:val="00E6403F"/>
    <w:rsid w:val="00E84C5A"/>
    <w:rsid w:val="00E861DB"/>
    <w:rsid w:val="00E93406"/>
    <w:rsid w:val="00E956C5"/>
    <w:rsid w:val="00E95C39"/>
    <w:rsid w:val="00EA2C39"/>
    <w:rsid w:val="00EB0A96"/>
    <w:rsid w:val="00EB77F9"/>
    <w:rsid w:val="00EC5769"/>
    <w:rsid w:val="00EC7D00"/>
    <w:rsid w:val="00ED0304"/>
    <w:rsid w:val="00EE38FA"/>
    <w:rsid w:val="00EE3E2C"/>
    <w:rsid w:val="00EE5D23"/>
    <w:rsid w:val="00EF3CA4"/>
    <w:rsid w:val="00F014DA"/>
    <w:rsid w:val="00F60EFF"/>
    <w:rsid w:val="00F94398"/>
    <w:rsid w:val="00FB2B56"/>
    <w:rsid w:val="00FC12BF"/>
    <w:rsid w:val="00FD3E6F"/>
    <w:rsid w:val="00FD51B9"/>
    <w:rsid w:val="00FE2A39"/>
    <w:rsid w:val="00FF792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15:docId w15:val="{F74A40D5-CAC0-4977-B97C-298BA90F5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sz w:val="22"/>
        <w:szCs w:val="22"/>
        <w:lang w:val="en-AU"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semiHidden="1" w:uiPriority="22" w:qFormat="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5EA4"/>
  </w:style>
  <w:style w:type="paragraph" w:styleId="Heading1">
    <w:name w:val="heading 1"/>
    <w:basedOn w:val="Normal"/>
    <w:next w:val="Normal"/>
    <w:link w:val="Heading1Char"/>
    <w:uiPriority w:val="1"/>
    <w:qFormat/>
    <w:rsid w:val="009A5F24"/>
    <w:pPr>
      <w:keepNext/>
      <w:keepLines/>
      <w:numPr>
        <w:numId w:val="8"/>
      </w:numPr>
      <w:spacing w:before="240"/>
      <w:outlineLvl w:val="0"/>
    </w:pPr>
    <w:rPr>
      <w:rFonts w:eastAsiaTheme="majorEastAsia" w:cstheme="majorBidi"/>
      <w:b/>
      <w:bCs/>
      <w:kern w:val="32"/>
      <w:sz w:val="32"/>
      <w:szCs w:val="32"/>
    </w:rPr>
  </w:style>
  <w:style w:type="paragraph" w:styleId="Heading2">
    <w:name w:val="heading 2"/>
    <w:basedOn w:val="Normal"/>
    <w:next w:val="Normal"/>
    <w:link w:val="Heading2Char"/>
    <w:uiPriority w:val="1"/>
    <w:qFormat/>
    <w:rsid w:val="009A5F24"/>
    <w:pPr>
      <w:keepNext/>
      <w:keepLines/>
      <w:numPr>
        <w:ilvl w:val="1"/>
        <w:numId w:val="8"/>
      </w:numPr>
      <w:spacing w:before="240"/>
      <w:outlineLvl w:val="1"/>
    </w:pPr>
    <w:rPr>
      <w:rFonts w:eastAsiaTheme="majorEastAsia" w:cstheme="majorBidi"/>
      <w:b/>
      <w:bCs/>
      <w:iCs/>
      <w:color w:val="606060"/>
      <w:sz w:val="28"/>
      <w:szCs w:val="28"/>
    </w:rPr>
  </w:style>
  <w:style w:type="paragraph" w:styleId="Heading3">
    <w:name w:val="heading 3"/>
    <w:basedOn w:val="Normal"/>
    <w:next w:val="Normal"/>
    <w:link w:val="Heading3Char"/>
    <w:uiPriority w:val="1"/>
    <w:qFormat/>
    <w:rsid w:val="009A5F24"/>
    <w:pPr>
      <w:keepNext/>
      <w:keepLines/>
      <w:numPr>
        <w:ilvl w:val="2"/>
        <w:numId w:val="8"/>
      </w:numPr>
      <w:spacing w:before="240"/>
      <w:outlineLvl w:val="2"/>
    </w:pPr>
    <w:rPr>
      <w:rFonts w:cs="Arial"/>
      <w:b/>
      <w:bCs/>
      <w:sz w:val="24"/>
      <w:szCs w:val="26"/>
    </w:rPr>
  </w:style>
  <w:style w:type="paragraph" w:styleId="Heading4">
    <w:name w:val="heading 4"/>
    <w:basedOn w:val="Normal"/>
    <w:next w:val="Normal"/>
    <w:link w:val="Heading4Char"/>
    <w:uiPriority w:val="1"/>
    <w:qFormat/>
    <w:rsid w:val="009A5F24"/>
    <w:pPr>
      <w:keepNext/>
      <w:keepLines/>
      <w:numPr>
        <w:ilvl w:val="3"/>
        <w:numId w:val="8"/>
      </w:numPr>
      <w:spacing w:before="240"/>
      <w:outlineLvl w:val="3"/>
    </w:pPr>
    <w:rPr>
      <w:rFonts w:eastAsiaTheme="majorEastAsia" w:cstheme="majorBidi"/>
      <w:b/>
      <w:bCs/>
      <w:iCs/>
      <w:color w:val="606060"/>
    </w:rPr>
  </w:style>
  <w:style w:type="paragraph" w:styleId="Heading5">
    <w:name w:val="heading 5"/>
    <w:basedOn w:val="Normal"/>
    <w:next w:val="Normal"/>
    <w:link w:val="Heading5Char"/>
    <w:uiPriority w:val="9"/>
    <w:rsid w:val="009A5F24"/>
    <w:pPr>
      <w:keepNext/>
      <w:keepLines/>
      <w:numPr>
        <w:ilvl w:val="4"/>
        <w:numId w:val="8"/>
      </w:numPr>
      <w:outlineLvl w:val="4"/>
    </w:pPr>
    <w:rPr>
      <w:b/>
      <w:color w:val="000000" w:themeColor="text1"/>
    </w:rPr>
  </w:style>
  <w:style w:type="paragraph" w:styleId="Heading6">
    <w:name w:val="heading 6"/>
    <w:basedOn w:val="Normal"/>
    <w:next w:val="Normal"/>
    <w:link w:val="Heading6Char"/>
    <w:uiPriority w:val="9"/>
    <w:rsid w:val="009A5F24"/>
    <w:pPr>
      <w:keepNext/>
      <w:keepLines/>
      <w:numPr>
        <w:ilvl w:val="5"/>
        <w:numId w:val="8"/>
      </w:numPr>
      <w:outlineLvl w:val="5"/>
    </w:pPr>
    <w:rPr>
      <w:b/>
      <w:color w:val="606060"/>
    </w:rPr>
  </w:style>
  <w:style w:type="paragraph" w:styleId="Heading7">
    <w:name w:val="heading 7"/>
    <w:basedOn w:val="Normal"/>
    <w:next w:val="Normal"/>
    <w:link w:val="Heading7Char"/>
    <w:uiPriority w:val="9"/>
    <w:rsid w:val="009A5F24"/>
    <w:pPr>
      <w:keepNext/>
      <w:keepLines/>
      <w:numPr>
        <w:ilvl w:val="6"/>
        <w:numId w:val="8"/>
      </w:numPr>
      <w:outlineLvl w:val="6"/>
    </w:pPr>
    <w:rPr>
      <w:b/>
      <w:color w:val="000000" w:themeColor="text1"/>
    </w:rPr>
  </w:style>
  <w:style w:type="paragraph" w:styleId="Heading8">
    <w:name w:val="heading 8"/>
    <w:basedOn w:val="Normal"/>
    <w:next w:val="Normal"/>
    <w:link w:val="Heading8Char"/>
    <w:uiPriority w:val="9"/>
    <w:rsid w:val="009A5F24"/>
    <w:pPr>
      <w:keepNext/>
      <w:keepLines/>
      <w:numPr>
        <w:ilvl w:val="7"/>
        <w:numId w:val="8"/>
      </w:numPr>
      <w:outlineLvl w:val="7"/>
    </w:pPr>
    <w:rPr>
      <w:b/>
      <w:color w:val="606060"/>
    </w:rPr>
  </w:style>
  <w:style w:type="paragraph" w:styleId="Heading9">
    <w:name w:val="heading 9"/>
    <w:basedOn w:val="Normal"/>
    <w:next w:val="Normal"/>
    <w:link w:val="Heading9Char"/>
    <w:uiPriority w:val="9"/>
    <w:rsid w:val="009A5F24"/>
    <w:pPr>
      <w:keepNext/>
      <w:keepLines/>
      <w:numPr>
        <w:ilvl w:val="8"/>
        <w:numId w:val="8"/>
      </w:numPr>
      <w:outlineLvl w:val="8"/>
    </w:pPr>
    <w:rPr>
      <w:b/>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5"/>
    <w:rsid w:val="003504FD"/>
  </w:style>
  <w:style w:type="character" w:customStyle="1" w:styleId="Heading1Char">
    <w:name w:val="Heading 1 Char"/>
    <w:basedOn w:val="DefaultParagraphFont"/>
    <w:link w:val="Heading1"/>
    <w:uiPriority w:val="1"/>
    <w:rsid w:val="009A5F24"/>
    <w:rPr>
      <w:rFonts w:eastAsiaTheme="majorEastAsia" w:cstheme="majorBidi"/>
      <w:b/>
      <w:bCs/>
      <w:kern w:val="32"/>
      <w:sz w:val="32"/>
      <w:szCs w:val="32"/>
    </w:rPr>
  </w:style>
  <w:style w:type="character" w:customStyle="1" w:styleId="Heading2Char">
    <w:name w:val="Heading 2 Char"/>
    <w:basedOn w:val="DefaultParagraphFont"/>
    <w:link w:val="Heading2"/>
    <w:uiPriority w:val="1"/>
    <w:rsid w:val="009A5F24"/>
    <w:rPr>
      <w:rFonts w:eastAsiaTheme="majorEastAsia" w:cstheme="majorBidi"/>
      <w:b/>
      <w:bCs/>
      <w:iCs/>
      <w:color w:val="606060"/>
      <w:sz w:val="28"/>
      <w:szCs w:val="28"/>
    </w:rPr>
  </w:style>
  <w:style w:type="paragraph" w:styleId="Title">
    <w:name w:val="Title"/>
    <w:next w:val="Normal"/>
    <w:link w:val="TitleChar"/>
    <w:uiPriority w:val="10"/>
    <w:rsid w:val="00BF5099"/>
    <w:pPr>
      <w:spacing w:after="240"/>
    </w:pPr>
    <w:rPr>
      <w:rFonts w:ascii="Arial Black" w:eastAsia="Times New Roman" w:hAnsi="Arial Black" w:cs="Arial"/>
      <w:b/>
      <w:color w:val="CB6015"/>
      <w:sz w:val="36"/>
      <w:szCs w:val="36"/>
      <w:lang w:eastAsia="en-AU"/>
    </w:rPr>
  </w:style>
  <w:style w:type="character" w:customStyle="1" w:styleId="TitleChar">
    <w:name w:val="Title Char"/>
    <w:basedOn w:val="DefaultParagraphFont"/>
    <w:link w:val="Title"/>
    <w:uiPriority w:val="10"/>
    <w:rsid w:val="00BF5099"/>
    <w:rPr>
      <w:rFonts w:ascii="Arial Black" w:eastAsia="Times New Roman" w:hAnsi="Arial Black" w:cs="Arial"/>
      <w:b/>
      <w:color w:val="CB6015"/>
      <w:sz w:val="36"/>
      <w:szCs w:val="36"/>
      <w:lang w:eastAsia="en-AU"/>
    </w:rPr>
  </w:style>
  <w:style w:type="paragraph" w:styleId="Subtitle">
    <w:name w:val="Subtitle"/>
    <w:basedOn w:val="Normal"/>
    <w:next w:val="Normal"/>
    <w:link w:val="SubtitleChar"/>
    <w:uiPriority w:val="11"/>
    <w:semiHidden/>
    <w:rsid w:val="005654B8"/>
    <w:pPr>
      <w:spacing w:after="60"/>
      <w:jc w:val="center"/>
      <w:outlineLvl w:val="1"/>
    </w:pPr>
    <w:rPr>
      <w:rFonts w:eastAsiaTheme="majorEastAsia" w:cstheme="majorBidi"/>
      <w:sz w:val="24"/>
      <w:szCs w:val="24"/>
    </w:rPr>
  </w:style>
  <w:style w:type="character" w:customStyle="1" w:styleId="SubtitleChar">
    <w:name w:val="Subtitle Char"/>
    <w:basedOn w:val="DefaultParagraphFont"/>
    <w:link w:val="Subtitle"/>
    <w:uiPriority w:val="11"/>
    <w:semiHidden/>
    <w:rsid w:val="00EE3E2C"/>
    <w:rPr>
      <w:rFonts w:ascii="Arial" w:eastAsiaTheme="majorEastAsia" w:hAnsi="Arial" w:cstheme="majorBidi"/>
      <w:sz w:val="24"/>
      <w:szCs w:val="24"/>
      <w:lang w:eastAsia="en-AU"/>
    </w:rPr>
  </w:style>
  <w:style w:type="character" w:customStyle="1" w:styleId="Heading3Char">
    <w:name w:val="Heading 3 Char"/>
    <w:basedOn w:val="DefaultParagraphFont"/>
    <w:link w:val="Heading3"/>
    <w:uiPriority w:val="1"/>
    <w:rsid w:val="009A5F24"/>
    <w:rPr>
      <w:rFonts w:cs="Arial"/>
      <w:b/>
      <w:bCs/>
      <w:sz w:val="24"/>
      <w:szCs w:val="26"/>
    </w:rPr>
  </w:style>
  <w:style w:type="paragraph" w:styleId="BlockText">
    <w:name w:val="Block Text"/>
    <w:basedOn w:val="Normal"/>
    <w:semiHidden/>
    <w:rsid w:val="00414CB3"/>
    <w:rPr>
      <w:rFonts w:eastAsiaTheme="minorEastAsia"/>
      <w:iCs/>
    </w:rPr>
  </w:style>
  <w:style w:type="paragraph" w:styleId="Header">
    <w:name w:val="header"/>
    <w:aliases w:val="NTG Page Header"/>
    <w:basedOn w:val="Normal"/>
    <w:next w:val="Normal"/>
    <w:link w:val="HeaderChar"/>
    <w:uiPriority w:val="11"/>
    <w:rsid w:val="005A4AC0"/>
    <w:pPr>
      <w:tabs>
        <w:tab w:val="center" w:pos="4513"/>
        <w:tab w:val="right" w:pos="9026"/>
      </w:tabs>
      <w:jc w:val="right"/>
    </w:pPr>
    <w:rPr>
      <w:b/>
    </w:rPr>
  </w:style>
  <w:style w:type="character" w:customStyle="1" w:styleId="HeaderChar">
    <w:name w:val="Header Char"/>
    <w:aliases w:val="NTG Page Header Char"/>
    <w:basedOn w:val="DefaultParagraphFont"/>
    <w:link w:val="Header"/>
    <w:uiPriority w:val="11"/>
    <w:rsid w:val="00595386"/>
    <w:rPr>
      <w:rFonts w:ascii="Arial" w:eastAsia="Times New Roman" w:hAnsi="Arial"/>
      <w:b/>
      <w:sz w:val="22"/>
      <w:lang w:eastAsia="en-AU"/>
    </w:rPr>
  </w:style>
  <w:style w:type="paragraph" w:styleId="Footer">
    <w:name w:val="footer"/>
    <w:basedOn w:val="Normal"/>
    <w:link w:val="FooterChar"/>
    <w:uiPriority w:val="99"/>
    <w:semiHidden/>
    <w:rsid w:val="00B02EF1"/>
    <w:pPr>
      <w:tabs>
        <w:tab w:val="center" w:pos="4513"/>
        <w:tab w:val="right" w:pos="9026"/>
      </w:tabs>
      <w:spacing w:after="0"/>
    </w:pPr>
  </w:style>
  <w:style w:type="character" w:customStyle="1" w:styleId="FooterChar">
    <w:name w:val="Footer Char"/>
    <w:basedOn w:val="DefaultParagraphFont"/>
    <w:link w:val="Footer"/>
    <w:uiPriority w:val="99"/>
    <w:semiHidden/>
    <w:rsid w:val="00595386"/>
    <w:rPr>
      <w:rFonts w:ascii="Arial" w:eastAsia="Times New Roman" w:hAnsi="Arial"/>
      <w:sz w:val="22"/>
      <w:lang w:eastAsia="en-AU"/>
    </w:rPr>
  </w:style>
  <w:style w:type="paragraph" w:customStyle="1" w:styleId="SubTitle0">
    <w:name w:val="Sub Title"/>
    <w:basedOn w:val="Normal"/>
    <w:rsid w:val="004864DE"/>
    <w:pPr>
      <w:spacing w:after="0"/>
    </w:pPr>
    <w:rPr>
      <w:b/>
      <w:sz w:val="32"/>
      <w:szCs w:val="24"/>
      <w:lang w:val="en-US"/>
    </w:rPr>
  </w:style>
  <w:style w:type="character" w:customStyle="1" w:styleId="Heading4Char">
    <w:name w:val="Heading 4 Char"/>
    <w:basedOn w:val="DefaultParagraphFont"/>
    <w:link w:val="Heading4"/>
    <w:uiPriority w:val="1"/>
    <w:rsid w:val="009A5F24"/>
    <w:rPr>
      <w:rFonts w:eastAsiaTheme="majorEastAsia" w:cstheme="majorBidi"/>
      <w:b/>
      <w:bCs/>
      <w:iCs/>
      <w:color w:val="606060"/>
    </w:rPr>
  </w:style>
  <w:style w:type="paragraph" w:styleId="NormalWeb">
    <w:name w:val="Normal (Web)"/>
    <w:basedOn w:val="Normal"/>
    <w:uiPriority w:val="99"/>
    <w:semiHidden/>
    <w:unhideWhenUsed/>
    <w:rsid w:val="00342283"/>
    <w:rPr>
      <w:rFonts w:ascii="Times New Roman" w:hAnsi="Times New Roman"/>
      <w:sz w:val="24"/>
      <w:szCs w:val="24"/>
    </w:rPr>
  </w:style>
  <w:style w:type="character" w:styleId="PlaceholderText">
    <w:name w:val="Placeholder Text"/>
    <w:basedOn w:val="DefaultParagraphFont"/>
    <w:uiPriority w:val="99"/>
    <w:semiHidden/>
    <w:rsid w:val="005762CC"/>
    <w:rPr>
      <w:color w:val="808080"/>
    </w:rPr>
  </w:style>
  <w:style w:type="paragraph" w:styleId="ListParagraph">
    <w:name w:val="List Paragraph"/>
    <w:basedOn w:val="BlockText"/>
    <w:uiPriority w:val="34"/>
    <w:rsid w:val="003B6A61"/>
    <w:pPr>
      <w:spacing w:after="120"/>
    </w:pPr>
  </w:style>
  <w:style w:type="table" w:styleId="TableGrid">
    <w:name w:val="Table Grid"/>
    <w:basedOn w:val="TableNormal"/>
    <w:uiPriority w:val="59"/>
    <w:rsid w:val="00132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TGFooter1items">
    <w:name w:val="NTG Footer 1 items"/>
    <w:basedOn w:val="Normal"/>
    <w:link w:val="NTGFooter1itemsChar"/>
    <w:uiPriority w:val="7"/>
    <w:rsid w:val="00705C9D"/>
    <w:pPr>
      <w:widowControl w:val="0"/>
      <w:tabs>
        <w:tab w:val="left" w:pos="1778"/>
        <w:tab w:val="right" w:pos="9026"/>
      </w:tabs>
      <w:spacing w:after="0"/>
    </w:pPr>
    <w:rPr>
      <w:rFonts w:cs="Arial"/>
      <w:sz w:val="20"/>
      <w:szCs w:val="16"/>
    </w:rPr>
  </w:style>
  <w:style w:type="paragraph" w:customStyle="1" w:styleId="NTGFooterDepartmentof">
    <w:name w:val="NTG Footer Department of"/>
    <w:link w:val="NTGFooterDepartmentofChar"/>
    <w:uiPriority w:val="7"/>
    <w:rsid w:val="00705C9D"/>
    <w:pPr>
      <w:widowControl w:val="0"/>
      <w:tabs>
        <w:tab w:val="right" w:pos="9026"/>
      </w:tabs>
    </w:pPr>
    <w:rPr>
      <w:rFonts w:cs="Arial"/>
      <w:caps/>
      <w:szCs w:val="16"/>
    </w:rPr>
  </w:style>
  <w:style w:type="paragraph" w:customStyle="1" w:styleId="NTGFooterDepartmentName">
    <w:name w:val="NTG Footer Department Name"/>
    <w:link w:val="NTGFooterDepartmentNameChar"/>
    <w:uiPriority w:val="7"/>
    <w:rsid w:val="00705C9D"/>
    <w:pPr>
      <w:widowControl w:val="0"/>
      <w:tabs>
        <w:tab w:val="right" w:pos="9026"/>
      </w:tabs>
    </w:pPr>
    <w:rPr>
      <w:rFonts w:ascii="Arial Black" w:hAnsi="Arial Black" w:cs="Arial"/>
      <w:caps/>
      <w:szCs w:val="16"/>
    </w:rPr>
  </w:style>
  <w:style w:type="character" w:customStyle="1" w:styleId="NTGFooter1itemsChar">
    <w:name w:val="NTG Footer 1 items Char"/>
    <w:basedOn w:val="DefaultParagraphFont"/>
    <w:link w:val="NTGFooter1items"/>
    <w:uiPriority w:val="7"/>
    <w:rsid w:val="00705C9D"/>
    <w:rPr>
      <w:rFonts w:ascii="Arial" w:hAnsi="Arial" w:cs="Arial"/>
      <w:szCs w:val="16"/>
    </w:rPr>
  </w:style>
  <w:style w:type="character" w:customStyle="1" w:styleId="NTGFooterDepartmentofChar">
    <w:name w:val="NTG Footer Department of Char"/>
    <w:basedOn w:val="DefaultParagraphFont"/>
    <w:link w:val="NTGFooterDepartmentof"/>
    <w:uiPriority w:val="7"/>
    <w:rsid w:val="00705C9D"/>
    <w:rPr>
      <w:rFonts w:ascii="Arial" w:hAnsi="Arial" w:cs="Arial"/>
      <w:caps/>
      <w:szCs w:val="16"/>
    </w:rPr>
  </w:style>
  <w:style w:type="character" w:customStyle="1" w:styleId="NTGFooterDepartmentNameChar">
    <w:name w:val="NTG Footer Department Name Char"/>
    <w:basedOn w:val="NTGFooterDepartmentofChar"/>
    <w:link w:val="NTGFooterDepartmentName"/>
    <w:uiPriority w:val="7"/>
    <w:rsid w:val="00595386"/>
    <w:rPr>
      <w:rFonts w:ascii="Arial Black" w:hAnsi="Arial Black" w:cs="Arial"/>
      <w:caps/>
      <w:szCs w:val="16"/>
    </w:rPr>
  </w:style>
  <w:style w:type="paragraph" w:customStyle="1" w:styleId="Appendix">
    <w:name w:val="Appendix"/>
    <w:basedOn w:val="Heading1"/>
    <w:next w:val="Normal"/>
    <w:uiPriority w:val="11"/>
    <w:qFormat/>
    <w:rsid w:val="00414CB3"/>
  </w:style>
  <w:style w:type="paragraph" w:styleId="BodyText">
    <w:name w:val="Body Text"/>
    <w:basedOn w:val="Normal"/>
    <w:link w:val="BodyTextChar"/>
    <w:uiPriority w:val="99"/>
    <w:semiHidden/>
    <w:rsid w:val="00414CB3"/>
    <w:pPr>
      <w:spacing w:after="120"/>
    </w:pPr>
  </w:style>
  <w:style w:type="character" w:customStyle="1" w:styleId="BodyTextChar">
    <w:name w:val="Body Text Char"/>
    <w:basedOn w:val="DefaultParagraphFont"/>
    <w:link w:val="BodyText"/>
    <w:uiPriority w:val="99"/>
    <w:semiHidden/>
    <w:rsid w:val="00414CB3"/>
    <w:rPr>
      <w:rFonts w:ascii="Arial" w:hAnsi="Arial"/>
      <w:sz w:val="22"/>
      <w:szCs w:val="22"/>
    </w:rPr>
  </w:style>
  <w:style w:type="paragraph" w:customStyle="1" w:styleId="NTGFooter2DateVersion">
    <w:name w:val="NTG Footer 2 Date &amp; Version"/>
    <w:basedOn w:val="NTGFooter2deptpagenum"/>
    <w:link w:val="NTGFooter2DateVersionChar"/>
    <w:uiPriority w:val="7"/>
    <w:rsid w:val="002926BC"/>
    <w:pPr>
      <w:spacing w:after="480"/>
    </w:pPr>
  </w:style>
  <w:style w:type="numbering" w:customStyle="1" w:styleId="NTGStandardList">
    <w:name w:val="NTG Standard List"/>
    <w:basedOn w:val="NoList"/>
    <w:rsid w:val="009F2A4D"/>
    <w:pPr>
      <w:numPr>
        <w:numId w:val="1"/>
      </w:numPr>
    </w:pPr>
  </w:style>
  <w:style w:type="table" w:customStyle="1" w:styleId="NTGTable">
    <w:name w:val="NTG Table"/>
    <w:basedOn w:val="TableGrid"/>
    <w:uiPriority w:val="99"/>
    <w:rsid w:val="0099551D"/>
    <w:pPr>
      <w:spacing w:after="40"/>
    </w:pPr>
    <w:rPr>
      <w:szCs w:val="20"/>
      <w:lang w:eastAsia="en-AU"/>
    </w:rPr>
    <w:tblPr>
      <w:tblStyleRowBandSize w:val="1"/>
      <w:tblStyleColBandSize w:val="1"/>
    </w:tblPr>
    <w:trPr>
      <w:cantSplit/>
    </w:trPr>
    <w:tcPr>
      <w:shd w:val="clear" w:color="auto" w:fill="auto"/>
    </w:tcPr>
    <w:tblStylePr w:type="firstRow">
      <w:pPr>
        <w:wordWrap/>
        <w:spacing w:beforeLines="0" w:before="60" w:beforeAutospacing="0" w:afterLines="0" w:after="60" w:afterAutospacing="0" w:line="240" w:lineRule="auto"/>
        <w:ind w:leftChars="0" w:left="0" w:rightChars="0" w:right="0" w:firstLineChars="0" w:firstLine="0"/>
        <w:contextualSpacing w:val="0"/>
        <w:mirrorIndents w:val="0"/>
        <w:jc w:val="left"/>
        <w:outlineLvl w:val="9"/>
      </w:pPr>
      <w:rPr>
        <w:rFonts w:ascii="Arial" w:hAnsi="Arial"/>
        <w:b/>
        <w:sz w:val="22"/>
      </w:rPr>
      <w:tblPr/>
      <w:trPr>
        <w:cantSplit/>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FBFBF" w:themeFill="background1" w:themeFillShade="BF"/>
        <w:vAlign w:val="center"/>
      </w:tcPr>
    </w:tblStylePr>
    <w:tblStylePr w:type="lastRow">
      <w:rPr>
        <w:rFonts w:ascii="Arial" w:hAnsi="Arial"/>
        <w:sz w:val="22"/>
      </w:rPr>
    </w:tblStylePr>
    <w:tblStylePr w:type="firstCol">
      <w:rPr>
        <w:rFonts w:ascii="Arial" w:hAnsi="Arial"/>
        <w:sz w:val="22"/>
      </w:rPr>
    </w:tblStylePr>
    <w:tblStylePr w:type="lastCol">
      <w:rPr>
        <w:rFonts w:ascii="Arial" w:hAnsi="Arial"/>
        <w:sz w:val="22"/>
      </w:rPr>
    </w:tblStylePr>
    <w:tblStylePr w:type="band1Vert">
      <w:rPr>
        <w:rFonts w:ascii="Arial" w:hAnsi="Arial"/>
        <w:sz w:val="22"/>
      </w:rPr>
    </w:tblStylePr>
    <w:tblStylePr w:type="band2Vert">
      <w:rPr>
        <w:rFonts w:ascii="Arial" w:hAnsi="Arial"/>
        <w:sz w:val="22"/>
      </w:rPr>
    </w:tblStylePr>
    <w:tblStylePr w:type="band1Horz">
      <w:rPr>
        <w:rFonts w:ascii="Arial" w:hAnsi="Arial"/>
        <w:sz w:val="22"/>
      </w:rPr>
    </w:tblStylePr>
    <w:tblStylePr w:type="band2Horz">
      <w:rPr>
        <w:rFonts w:ascii="Arial" w:hAnsi="Arial"/>
        <w:sz w:val="22"/>
      </w:rPr>
    </w:tblStylePr>
    <w:tblStylePr w:type="neCell">
      <w:rPr>
        <w:rFonts w:ascii="Arial" w:hAnsi="Arial"/>
        <w:sz w:val="22"/>
      </w:rPr>
    </w:tblStylePr>
    <w:tblStylePr w:type="nwCell">
      <w:rPr>
        <w:rFonts w:ascii="Arial" w:hAnsi="Arial"/>
        <w:sz w:val="22"/>
      </w:rPr>
    </w:tblStylePr>
    <w:tblStylePr w:type="seCell">
      <w:rPr>
        <w:rFonts w:ascii="Arial" w:hAnsi="Arial"/>
        <w:sz w:val="22"/>
      </w:rPr>
    </w:tblStylePr>
    <w:tblStylePr w:type="swCell">
      <w:rPr>
        <w:rFonts w:ascii="Arial" w:hAnsi="Arial"/>
        <w:sz w:val="22"/>
      </w:rPr>
    </w:tblStylePr>
  </w:style>
  <w:style w:type="table" w:styleId="TableTheme">
    <w:name w:val="Table Theme"/>
    <w:basedOn w:val="TableNormal"/>
    <w:uiPriority w:val="99"/>
    <w:semiHidden/>
    <w:unhideWhenUsed/>
    <w:rsid w:val="00414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rsid w:val="009A5F24"/>
    <w:rPr>
      <w:b/>
      <w:color w:val="000000" w:themeColor="text1"/>
    </w:rPr>
  </w:style>
  <w:style w:type="character" w:customStyle="1" w:styleId="Heading6Char">
    <w:name w:val="Heading 6 Char"/>
    <w:basedOn w:val="DefaultParagraphFont"/>
    <w:link w:val="Heading6"/>
    <w:uiPriority w:val="9"/>
    <w:rsid w:val="009A5F24"/>
    <w:rPr>
      <w:b/>
      <w:color w:val="606060"/>
    </w:rPr>
  </w:style>
  <w:style w:type="character" w:customStyle="1" w:styleId="Heading7Char">
    <w:name w:val="Heading 7 Char"/>
    <w:basedOn w:val="DefaultParagraphFont"/>
    <w:link w:val="Heading7"/>
    <w:uiPriority w:val="9"/>
    <w:rsid w:val="009A5F24"/>
    <w:rPr>
      <w:b/>
      <w:color w:val="000000" w:themeColor="text1"/>
    </w:rPr>
  </w:style>
  <w:style w:type="character" w:customStyle="1" w:styleId="Heading8Char">
    <w:name w:val="Heading 8 Char"/>
    <w:basedOn w:val="DefaultParagraphFont"/>
    <w:link w:val="Heading8"/>
    <w:uiPriority w:val="9"/>
    <w:rsid w:val="009A5F24"/>
    <w:rPr>
      <w:b/>
      <w:color w:val="606060"/>
    </w:rPr>
  </w:style>
  <w:style w:type="character" w:customStyle="1" w:styleId="Heading9Char">
    <w:name w:val="Heading 9 Char"/>
    <w:basedOn w:val="DefaultParagraphFont"/>
    <w:link w:val="Heading9"/>
    <w:uiPriority w:val="9"/>
    <w:rsid w:val="009A5F24"/>
    <w:rPr>
      <w:b/>
      <w:color w:val="000000" w:themeColor="text1"/>
    </w:rPr>
  </w:style>
  <w:style w:type="paragraph" w:customStyle="1" w:styleId="NTGFooter2deptpagenum">
    <w:name w:val="NTG Footer 2 dept &amp; page num"/>
    <w:basedOn w:val="Normal"/>
    <w:link w:val="NTGFooter2deptpagenumChar"/>
    <w:uiPriority w:val="7"/>
    <w:rsid w:val="002926BC"/>
    <w:pPr>
      <w:tabs>
        <w:tab w:val="right" w:pos="9639"/>
      </w:tabs>
      <w:spacing w:after="0"/>
    </w:pPr>
    <w:rPr>
      <w:sz w:val="20"/>
    </w:rPr>
  </w:style>
  <w:style w:type="character" w:customStyle="1" w:styleId="NTGFooter2deptpagenumChar">
    <w:name w:val="NTG Footer 2 dept &amp; page num Char"/>
    <w:basedOn w:val="DefaultParagraphFont"/>
    <w:link w:val="NTGFooter2deptpagenum"/>
    <w:uiPriority w:val="7"/>
    <w:rsid w:val="002926BC"/>
    <w:rPr>
      <w:rFonts w:ascii="Arial" w:eastAsia="Times New Roman" w:hAnsi="Arial"/>
      <w:lang w:eastAsia="en-AU"/>
    </w:rPr>
  </w:style>
  <w:style w:type="character" w:customStyle="1" w:styleId="NTGFooter2DateVersionChar">
    <w:name w:val="NTG Footer 2 Date &amp; Version Char"/>
    <w:basedOn w:val="NTGFooter2deptpagenumChar"/>
    <w:link w:val="NTGFooter2DateVersion"/>
    <w:uiPriority w:val="7"/>
    <w:rsid w:val="002926BC"/>
    <w:rPr>
      <w:rFonts w:ascii="Arial" w:eastAsia="Times New Roman" w:hAnsi="Arial"/>
      <w:lang w:eastAsia="en-AU"/>
    </w:rPr>
  </w:style>
  <w:style w:type="numbering" w:customStyle="1" w:styleId="NTGStandardNumList">
    <w:name w:val="NTG Standard Num List"/>
    <w:uiPriority w:val="99"/>
    <w:rsid w:val="007C6D9F"/>
    <w:pPr>
      <w:numPr>
        <w:numId w:val="2"/>
      </w:numPr>
    </w:pPr>
  </w:style>
  <w:style w:type="paragraph" w:styleId="ListNumber">
    <w:name w:val="List Number"/>
    <w:basedOn w:val="Normal"/>
    <w:uiPriority w:val="99"/>
    <w:qFormat/>
    <w:rsid w:val="00A22C38"/>
    <w:pPr>
      <w:numPr>
        <w:numId w:val="11"/>
      </w:numPr>
      <w:spacing w:after="120"/>
    </w:pPr>
  </w:style>
  <w:style w:type="paragraph" w:styleId="ListNumber2">
    <w:name w:val="List Number 2"/>
    <w:basedOn w:val="Normal"/>
    <w:uiPriority w:val="99"/>
    <w:rsid w:val="00A22C38"/>
    <w:pPr>
      <w:numPr>
        <w:ilvl w:val="1"/>
        <w:numId w:val="11"/>
      </w:numPr>
      <w:spacing w:after="120"/>
    </w:pPr>
  </w:style>
  <w:style w:type="paragraph" w:styleId="ListNumber3">
    <w:name w:val="List Number 3"/>
    <w:basedOn w:val="Normal"/>
    <w:uiPriority w:val="99"/>
    <w:rsid w:val="00A22C38"/>
    <w:pPr>
      <w:numPr>
        <w:ilvl w:val="2"/>
        <w:numId w:val="11"/>
      </w:numPr>
      <w:spacing w:after="120"/>
    </w:pPr>
  </w:style>
  <w:style w:type="paragraph" w:styleId="ListNumber4">
    <w:name w:val="List Number 4"/>
    <w:basedOn w:val="Normal"/>
    <w:uiPriority w:val="99"/>
    <w:rsid w:val="00A22C38"/>
    <w:pPr>
      <w:numPr>
        <w:ilvl w:val="3"/>
        <w:numId w:val="11"/>
      </w:numPr>
      <w:spacing w:after="120"/>
    </w:pPr>
  </w:style>
  <w:style w:type="paragraph" w:styleId="ListNumber5">
    <w:name w:val="List Number 5"/>
    <w:basedOn w:val="Normal"/>
    <w:uiPriority w:val="99"/>
    <w:rsid w:val="00A22C38"/>
    <w:pPr>
      <w:numPr>
        <w:ilvl w:val="4"/>
        <w:numId w:val="11"/>
      </w:numPr>
      <w:spacing w:after="120"/>
    </w:pPr>
  </w:style>
  <w:style w:type="paragraph" w:styleId="ListBullet">
    <w:name w:val="List Bullet"/>
    <w:basedOn w:val="Normal"/>
    <w:uiPriority w:val="99"/>
    <w:rsid w:val="003B6A61"/>
    <w:pPr>
      <w:numPr>
        <w:numId w:val="13"/>
      </w:numPr>
      <w:spacing w:after="120"/>
    </w:pPr>
  </w:style>
  <w:style w:type="paragraph" w:styleId="ListBullet2">
    <w:name w:val="List Bullet 2"/>
    <w:basedOn w:val="Normal"/>
    <w:uiPriority w:val="99"/>
    <w:rsid w:val="006847AD"/>
    <w:pPr>
      <w:numPr>
        <w:ilvl w:val="1"/>
        <w:numId w:val="13"/>
      </w:numPr>
      <w:spacing w:after="120"/>
    </w:pPr>
  </w:style>
  <w:style w:type="paragraph" w:styleId="ListBullet3">
    <w:name w:val="List Bullet 3"/>
    <w:basedOn w:val="Normal"/>
    <w:uiPriority w:val="99"/>
    <w:rsid w:val="006847AD"/>
    <w:pPr>
      <w:numPr>
        <w:ilvl w:val="2"/>
        <w:numId w:val="13"/>
      </w:numPr>
      <w:spacing w:after="120"/>
    </w:pPr>
  </w:style>
  <w:style w:type="paragraph" w:styleId="ListBullet4">
    <w:name w:val="List Bullet 4"/>
    <w:basedOn w:val="Normal"/>
    <w:uiPriority w:val="99"/>
    <w:rsid w:val="006847AD"/>
    <w:pPr>
      <w:numPr>
        <w:ilvl w:val="3"/>
        <w:numId w:val="13"/>
      </w:numPr>
      <w:spacing w:after="120"/>
    </w:pPr>
  </w:style>
  <w:style w:type="paragraph" w:styleId="ListBullet5">
    <w:name w:val="List Bullet 5"/>
    <w:basedOn w:val="Normal"/>
    <w:uiPriority w:val="99"/>
    <w:rsid w:val="004E2CB7"/>
    <w:pPr>
      <w:numPr>
        <w:ilvl w:val="4"/>
        <w:numId w:val="13"/>
      </w:numPr>
    </w:pPr>
  </w:style>
  <w:style w:type="character" w:styleId="Hyperlink">
    <w:name w:val="Hyperlink"/>
    <w:basedOn w:val="DefaultParagraphFont"/>
    <w:uiPriority w:val="99"/>
    <w:unhideWhenUsed/>
    <w:rsid w:val="002F0DB1"/>
    <w:rPr>
      <w:color w:val="0000FF" w:themeColor="hyperlink"/>
      <w:u w:val="single"/>
    </w:rPr>
  </w:style>
  <w:style w:type="paragraph" w:styleId="TOCHeading">
    <w:name w:val="TOC Heading"/>
    <w:basedOn w:val="Heading1"/>
    <w:next w:val="Normal"/>
    <w:uiPriority w:val="39"/>
    <w:unhideWhenUsed/>
    <w:qFormat/>
    <w:rsid w:val="003B67FD"/>
    <w:pPr>
      <w:spacing w:before="480" w:after="0"/>
      <w:outlineLvl w:val="9"/>
    </w:pPr>
    <w:rPr>
      <w:kern w:val="0"/>
      <w:szCs w:val="28"/>
    </w:rPr>
  </w:style>
  <w:style w:type="paragraph" w:styleId="TOC1">
    <w:name w:val="toc 1"/>
    <w:basedOn w:val="Normal"/>
    <w:next w:val="Normal"/>
    <w:autoRedefine/>
    <w:uiPriority w:val="39"/>
    <w:unhideWhenUsed/>
    <w:rsid w:val="007859CD"/>
    <w:pPr>
      <w:spacing w:after="100"/>
    </w:pPr>
  </w:style>
  <w:style w:type="paragraph" w:styleId="TOC2">
    <w:name w:val="toc 2"/>
    <w:basedOn w:val="Normal"/>
    <w:next w:val="Normal"/>
    <w:autoRedefine/>
    <w:uiPriority w:val="39"/>
    <w:unhideWhenUsed/>
    <w:rsid w:val="007859CD"/>
    <w:pPr>
      <w:spacing w:after="100"/>
      <w:ind w:left="220"/>
    </w:pPr>
  </w:style>
  <w:style w:type="paragraph" w:styleId="TOC3">
    <w:name w:val="toc 3"/>
    <w:basedOn w:val="Normal"/>
    <w:next w:val="Normal"/>
    <w:autoRedefine/>
    <w:uiPriority w:val="39"/>
    <w:unhideWhenUsed/>
    <w:rsid w:val="007859CD"/>
    <w:pPr>
      <w:spacing w:after="100"/>
      <w:ind w:left="440"/>
    </w:pPr>
  </w:style>
  <w:style w:type="paragraph" w:customStyle="1" w:styleId="NTGTableBulletList1">
    <w:name w:val="NTG Table Bullet List 1"/>
    <w:semiHidden/>
    <w:qFormat/>
    <w:rsid w:val="002716CD"/>
    <w:pPr>
      <w:numPr>
        <w:numId w:val="14"/>
      </w:numPr>
      <w:spacing w:after="20"/>
    </w:pPr>
  </w:style>
  <w:style w:type="paragraph" w:customStyle="1" w:styleId="NTGTableBulletList2">
    <w:name w:val="NTG Table Bullet List 2"/>
    <w:basedOn w:val="NTGTableBulletList1"/>
    <w:semiHidden/>
    <w:qFormat/>
    <w:rsid w:val="002716CD"/>
    <w:pPr>
      <w:numPr>
        <w:ilvl w:val="1"/>
      </w:numPr>
    </w:pPr>
  </w:style>
  <w:style w:type="paragraph" w:customStyle="1" w:styleId="NTGTableBulletList3">
    <w:name w:val="NTG Table Bullet List 3"/>
    <w:basedOn w:val="NTGTableBulletList2"/>
    <w:semiHidden/>
    <w:qFormat/>
    <w:rsid w:val="002716CD"/>
    <w:pPr>
      <w:numPr>
        <w:ilvl w:val="2"/>
      </w:numPr>
    </w:pPr>
  </w:style>
  <w:style w:type="paragraph" w:customStyle="1" w:styleId="NTGTableBulletList4">
    <w:name w:val="NTG Table Bullet List 4"/>
    <w:basedOn w:val="NTGTableBulletList3"/>
    <w:semiHidden/>
    <w:qFormat/>
    <w:rsid w:val="002716CD"/>
    <w:pPr>
      <w:numPr>
        <w:ilvl w:val="3"/>
      </w:numPr>
    </w:pPr>
  </w:style>
  <w:style w:type="paragraph" w:customStyle="1" w:styleId="NTGTableBulletList5">
    <w:name w:val="NTG Table Bullet List 5"/>
    <w:basedOn w:val="NTGTableBulletList4"/>
    <w:semiHidden/>
    <w:qFormat/>
    <w:rsid w:val="002716CD"/>
    <w:pPr>
      <w:numPr>
        <w:ilvl w:val="4"/>
      </w:numPr>
    </w:pPr>
  </w:style>
  <w:style w:type="paragraph" w:customStyle="1" w:styleId="NTGTableBulletList6">
    <w:name w:val="NTG Table Bullet List 6"/>
    <w:basedOn w:val="NTGTableBulletList5"/>
    <w:semiHidden/>
    <w:qFormat/>
    <w:rsid w:val="001D7CA4"/>
    <w:pPr>
      <w:numPr>
        <w:ilvl w:val="5"/>
      </w:numPr>
    </w:pPr>
  </w:style>
  <w:style w:type="paragraph" w:customStyle="1" w:styleId="NTGTableBulletList7">
    <w:name w:val="NTG Table Bullet List 7"/>
    <w:basedOn w:val="NTGTableBulletList6"/>
    <w:semiHidden/>
    <w:qFormat/>
    <w:rsid w:val="002716CD"/>
    <w:pPr>
      <w:numPr>
        <w:ilvl w:val="6"/>
      </w:numPr>
    </w:pPr>
  </w:style>
  <w:style w:type="paragraph" w:customStyle="1" w:styleId="NTGTableBulletList8">
    <w:name w:val="NTG Table Bullet List 8"/>
    <w:basedOn w:val="NTGTableBulletList7"/>
    <w:semiHidden/>
    <w:qFormat/>
    <w:rsid w:val="002716CD"/>
    <w:pPr>
      <w:numPr>
        <w:ilvl w:val="7"/>
      </w:numPr>
    </w:pPr>
  </w:style>
  <w:style w:type="paragraph" w:customStyle="1" w:styleId="NTGTableBulletList9">
    <w:name w:val="NTG Table Bullet List 9"/>
    <w:basedOn w:val="NTGTableBulletList8"/>
    <w:semiHidden/>
    <w:qFormat/>
    <w:rsid w:val="002716CD"/>
    <w:pPr>
      <w:numPr>
        <w:ilvl w:val="8"/>
      </w:numPr>
    </w:pPr>
  </w:style>
  <w:style w:type="numbering" w:customStyle="1" w:styleId="NTGTableList">
    <w:name w:val="NTG Table List"/>
    <w:uiPriority w:val="99"/>
    <w:rsid w:val="002716CD"/>
    <w:pPr>
      <w:numPr>
        <w:numId w:val="9"/>
      </w:numPr>
    </w:pPr>
  </w:style>
  <w:style w:type="paragraph" w:customStyle="1" w:styleId="NTGTableNumList1">
    <w:name w:val="NTG Table Num List 1"/>
    <w:semiHidden/>
    <w:qFormat/>
    <w:rsid w:val="002716CD"/>
    <w:pPr>
      <w:numPr>
        <w:numId w:val="12"/>
      </w:numPr>
      <w:spacing w:after="20"/>
    </w:pPr>
  </w:style>
  <w:style w:type="paragraph" w:customStyle="1" w:styleId="NTGTableNumList2">
    <w:name w:val="NTG Table Num List 2"/>
    <w:basedOn w:val="NTGTableNumList1"/>
    <w:semiHidden/>
    <w:qFormat/>
    <w:rsid w:val="002716CD"/>
    <w:pPr>
      <w:numPr>
        <w:ilvl w:val="1"/>
      </w:numPr>
    </w:pPr>
  </w:style>
  <w:style w:type="paragraph" w:customStyle="1" w:styleId="NTGTableNumList3">
    <w:name w:val="NTG Table Num List 3"/>
    <w:basedOn w:val="NTGTableNumList2"/>
    <w:semiHidden/>
    <w:qFormat/>
    <w:rsid w:val="002716CD"/>
    <w:pPr>
      <w:numPr>
        <w:ilvl w:val="2"/>
      </w:numPr>
    </w:pPr>
  </w:style>
  <w:style w:type="paragraph" w:customStyle="1" w:styleId="NTGTableNumList4">
    <w:name w:val="NTG Table Num List 4"/>
    <w:basedOn w:val="NTGTableNumList3"/>
    <w:semiHidden/>
    <w:qFormat/>
    <w:rsid w:val="002716CD"/>
    <w:pPr>
      <w:numPr>
        <w:ilvl w:val="3"/>
      </w:numPr>
    </w:pPr>
  </w:style>
  <w:style w:type="paragraph" w:customStyle="1" w:styleId="NTGTableNumList5">
    <w:name w:val="NTG Table Num List 5"/>
    <w:basedOn w:val="NTGTableNumList4"/>
    <w:semiHidden/>
    <w:qFormat/>
    <w:rsid w:val="002716CD"/>
    <w:pPr>
      <w:numPr>
        <w:ilvl w:val="4"/>
      </w:numPr>
    </w:pPr>
  </w:style>
  <w:style w:type="paragraph" w:customStyle="1" w:styleId="NTGTableNumList6">
    <w:name w:val="NTG Table Num List 6"/>
    <w:basedOn w:val="NTGTableNumList5"/>
    <w:semiHidden/>
    <w:qFormat/>
    <w:rsid w:val="002716CD"/>
    <w:pPr>
      <w:numPr>
        <w:ilvl w:val="5"/>
      </w:numPr>
    </w:pPr>
  </w:style>
  <w:style w:type="paragraph" w:customStyle="1" w:styleId="NTGTableNumList7">
    <w:name w:val="NTG Table Num List 7"/>
    <w:basedOn w:val="NTGTableNumList6"/>
    <w:semiHidden/>
    <w:qFormat/>
    <w:rsid w:val="002716CD"/>
    <w:pPr>
      <w:numPr>
        <w:ilvl w:val="6"/>
      </w:numPr>
    </w:pPr>
  </w:style>
  <w:style w:type="paragraph" w:customStyle="1" w:styleId="NTGTableNumList8">
    <w:name w:val="NTG Table Num List 8"/>
    <w:basedOn w:val="NTGTableNumList7"/>
    <w:semiHidden/>
    <w:qFormat/>
    <w:rsid w:val="002716CD"/>
    <w:pPr>
      <w:numPr>
        <w:ilvl w:val="7"/>
      </w:numPr>
    </w:pPr>
  </w:style>
  <w:style w:type="paragraph" w:customStyle="1" w:styleId="NTGTableNumList9">
    <w:name w:val="NTG Table Num List 9"/>
    <w:basedOn w:val="NTGTableNumList8"/>
    <w:semiHidden/>
    <w:qFormat/>
    <w:rsid w:val="002716CD"/>
    <w:pPr>
      <w:numPr>
        <w:ilvl w:val="8"/>
      </w:numPr>
    </w:pPr>
  </w:style>
  <w:style w:type="numbering" w:customStyle="1" w:styleId="NTGTableNumList">
    <w:name w:val="NTG Table Num List"/>
    <w:uiPriority w:val="99"/>
    <w:rsid w:val="002716CD"/>
    <w:pPr>
      <w:numPr>
        <w:numId w:val="10"/>
      </w:numPr>
    </w:pPr>
  </w:style>
  <w:style w:type="paragraph" w:customStyle="1" w:styleId="Default">
    <w:name w:val="Default"/>
    <w:rsid w:val="006C5353"/>
    <w:pPr>
      <w:autoSpaceDE w:val="0"/>
      <w:autoSpaceDN w:val="0"/>
      <w:adjustRightInd w:val="0"/>
      <w:spacing w:after="0"/>
    </w:pPr>
    <w:rPr>
      <w:rFonts w:eastAsiaTheme="minorHAnsi" w:cs="Arial"/>
      <w:color w:val="000000"/>
      <w:sz w:val="24"/>
      <w:szCs w:val="24"/>
    </w:rPr>
  </w:style>
  <w:style w:type="character" w:styleId="Strong">
    <w:name w:val="Strong"/>
    <w:basedOn w:val="DefaultParagraphFont"/>
    <w:uiPriority w:val="22"/>
    <w:qFormat/>
    <w:rsid w:val="006C535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527222">
      <w:bodyDiv w:val="1"/>
      <w:marLeft w:val="0"/>
      <w:marRight w:val="0"/>
      <w:marTop w:val="0"/>
      <w:marBottom w:val="0"/>
      <w:divBdr>
        <w:top w:val="none" w:sz="0" w:space="0" w:color="auto"/>
        <w:left w:val="none" w:sz="0" w:space="0" w:color="auto"/>
        <w:bottom w:val="none" w:sz="0" w:space="0" w:color="auto"/>
        <w:right w:val="none" w:sz="0" w:space="0" w:color="auto"/>
      </w:divBdr>
    </w:div>
    <w:div w:id="1720862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phi\AppData\Local\Temp\Temp8_blank-word-portrait-template_15.zip\blank-word-portrait-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9C5883-038E-44A6-9192-CFF4A22B9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blank-word-portrait-template.dotm</Template>
  <TotalTime>7</TotalTime>
  <Pages>3</Pages>
  <Words>939</Words>
  <Characters>5357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AASB 124 Related Party Disclosures</vt:lpstr>
    </vt:vector>
  </TitlesOfParts>
  <Company>Northern Territory Government</Company>
  <LinksUpToDate>false</LinksUpToDate>
  <CharactersWithSpaces>6284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AASB 124 Related Party Disclosures</dc:title>
  <dc:subject/>
  <dc:creator>Shona Needham</dc:creator>
  <cp:keywords/>
  <dc:description/>
  <cp:lastModifiedBy>Barbara Beamsley</cp:lastModifiedBy>
  <cp:revision>4</cp:revision>
  <cp:lastPrinted>2016-02-04T04:37:00Z</cp:lastPrinted>
  <dcterms:created xsi:type="dcterms:W3CDTF">2017-07-14T02:29:00Z</dcterms:created>
  <dcterms:modified xsi:type="dcterms:W3CDTF">2017-08-04T01:56:00Z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epartmentOf">
    <vt:lpwstr>Department of </vt:lpwstr>
  </property>
  <property fmtid="{D5CDD505-2E9C-101B-9397-08002B2CF9AE}" pid="3" name="DepartmentName">
    <vt:lpwstr>Treasury and Finance</vt:lpwstr>
  </property>
  <property fmtid="{D5CDD505-2E9C-101B-9397-08002B2CF9AE}" pid="4" name="DocumentAuthor">
    <vt:lpwstr>&lt;Firstname Lastname&gt;</vt:lpwstr>
  </property>
  <property fmtid="{D5CDD505-2E9C-101B-9397-08002B2CF9AE}" pid="5" name="VersionNo">
    <vt:lpwstr/>
  </property>
  <property fmtid="{D5CDD505-2E9C-101B-9397-08002B2CF9AE}" pid="6" name="DocumentDate">
    <vt:lpwstr>3 August 2017</vt:lpwstr>
  </property>
</Properties>
</file>